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68E62E7">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eastAsia" w:ascii="方正小标宋简体" w:eastAsia="方正小标宋简体"/>
          <w:b w:val="0"/>
          <w:bCs w:val="0"/>
          <w:color w:val="000000"/>
          <w:sz w:val="28"/>
          <w:szCs w:val="28"/>
        </w:rPr>
      </w:pPr>
      <w:bookmarkStart w:id="0" w:name="_Hlk535245579"/>
      <w:r>
        <w:rPr>
          <w:rFonts w:hint="eastAsia" w:ascii="方正小标宋简体" w:eastAsia="方正小标宋简体"/>
          <w:b w:val="0"/>
          <w:bCs w:val="0"/>
          <w:color w:val="000000"/>
          <w:sz w:val="28"/>
          <w:szCs w:val="28"/>
        </w:rPr>
        <w:t>附件1</w:t>
      </w:r>
    </w:p>
    <w:bookmarkEnd w:id="0"/>
    <w:p w14:paraId="06FF696B">
      <w:pPr>
        <w:pStyle w:val="2"/>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eastAsia" w:ascii="黑体" w:hAnsi="黑体" w:eastAsia="黑体" w:cs="黑体"/>
        </w:rPr>
      </w:pPr>
      <w:r>
        <w:rPr>
          <w:rFonts w:hint="eastAsia" w:ascii="黑体" w:hAnsi="黑体" w:eastAsia="黑体" w:cs="黑体"/>
        </w:rPr>
        <w:t>泸州市城南片区老旧小区改造及地下管网更新改造项目情况说明</w:t>
      </w:r>
    </w:p>
    <w:p w14:paraId="0823F569">
      <w:pPr>
        <w:pStyle w:val="3"/>
        <w:pageBreakBefore w:val="0"/>
        <w:tabs>
          <w:tab w:val="left" w:pos="1407"/>
        </w:tabs>
        <w:kinsoku w:val="0"/>
        <w:wordWrap/>
        <w:overflowPunct w:val="0"/>
        <w:topLinePunct w:val="0"/>
        <w:autoSpaceDE/>
        <w:autoSpaceDN/>
        <w:bidi w:val="0"/>
        <w:spacing w:before="304" w:after="304" w:line="360" w:lineRule="auto"/>
        <w:ind w:firstLine="643" w:firstLineChars="200"/>
        <w:textAlignment w:val="auto"/>
        <w:rPr>
          <w:rFonts w:hint="eastAsia" w:ascii="Arial" w:hAnsi="Arial"/>
          <w:b/>
        </w:rPr>
      </w:pPr>
      <w:r>
        <w:rPr>
          <w:rFonts w:hint="eastAsia" w:ascii="Arial" w:hAnsi="Arial"/>
          <w:b/>
        </w:rPr>
        <w:t>一、项目基本情况</w:t>
      </w:r>
    </w:p>
    <w:p w14:paraId="32DA206E">
      <w:pPr>
        <w:keepNext/>
        <w:keepLines/>
        <w:pageBreakBefore w:val="0"/>
        <w:widowControl/>
        <w:numPr>
          <w:ilvl w:val="0"/>
          <w:numId w:val="0"/>
        </w:numPr>
        <w:kinsoku/>
        <w:wordWrap/>
        <w:overflowPunct/>
        <w:topLinePunct w:val="0"/>
        <w:autoSpaceDE/>
        <w:autoSpaceDN/>
        <w:bidi w:val="0"/>
        <w:adjustRightInd w:val="0"/>
        <w:snapToGrid/>
        <w:spacing w:before="10" w:beforeLines="0" w:beforeAutospacing="0" w:after="10" w:afterLines="0" w:afterAutospacing="0" w:line="360" w:lineRule="auto"/>
        <w:jc w:val="both"/>
        <w:textAlignment w:val="auto"/>
        <w:outlineLvl w:val="1"/>
        <w:rPr>
          <w:rFonts w:hint="eastAsia" w:ascii="楷体" w:hAnsi="楷体" w:eastAsia="楷体" w:cs="楷体"/>
          <w:b/>
          <w:bCs w:val="0"/>
          <w:kern w:val="2"/>
          <w:sz w:val="32"/>
          <w:szCs w:val="24"/>
          <w:lang w:val="en-US" w:eastAsia="zh-CN" w:bidi="ar-SA"/>
        </w:rPr>
      </w:pPr>
      <w:r>
        <w:rPr>
          <w:rFonts w:hint="eastAsia" w:ascii="楷体" w:hAnsi="楷体" w:eastAsia="楷体" w:cs="楷体"/>
          <w:b/>
          <w:bCs w:val="0"/>
          <w:kern w:val="2"/>
          <w:sz w:val="32"/>
          <w:szCs w:val="24"/>
          <w:lang w:val="en-US" w:eastAsia="zh-CN" w:bidi="ar-SA"/>
        </w:rPr>
        <w:t>（一）泸州市社会发展和国民经济概况</w:t>
      </w:r>
    </w:p>
    <w:p w14:paraId="7C620FD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right="0" w:rightChars="0" w:firstLine="640" w:firstLineChars="200"/>
        <w:jc w:val="both"/>
        <w:textAlignment w:val="auto"/>
        <w:outlineLvl w:val="9"/>
        <w:rPr>
          <w:rFonts w:hint="eastAsia" w:ascii="仿宋" w:hAnsi="仿宋" w:eastAsia="仿宋" w:cs="仿宋"/>
          <w:sz w:val="32"/>
          <w:lang w:val="en-US" w:eastAsia="zh-CN"/>
        </w:rPr>
      </w:pPr>
      <w:r>
        <w:rPr>
          <w:rFonts w:hint="eastAsia" w:ascii="仿宋" w:hAnsi="仿宋" w:eastAsia="仿宋" w:cs="仿宋"/>
          <w:sz w:val="32"/>
          <w:lang w:val="en-US" w:eastAsia="zh-CN"/>
        </w:rPr>
        <w:t>泸州位于长江黄金水道（亚洲东西向发展轴）与西南出海通道交汇区域，是成渝经济区国际贸易的前沿区域，是四川、重庆与东南亚、东盟区域联系的重要节点。泸州作为长江上游重要港口城市，不仅拥有国家28个重点内河港口之一的泸州港，同时也是四川以及省外入川的第一大内河港，其“门户”和“口岸”优势明显。中国经济增长第四级—成渝经济区的重要商贸物流中心。</w:t>
      </w:r>
    </w:p>
    <w:p w14:paraId="119979A5">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ascii="Calibri" w:hAnsi="Calibri" w:eastAsia="宋体" w:cs="Times New Roman"/>
          <w:kern w:val="2"/>
          <w:sz w:val="21"/>
          <w:szCs w:val="24"/>
          <w:lang w:val="en-US" w:eastAsia="zh-CN" w:bidi="ar-SA"/>
        </w:rPr>
      </w:pPr>
      <w:r>
        <w:rPr>
          <w:rFonts w:ascii="Calibri" w:hAnsi="Calibri" w:eastAsia="宋体" w:cs="Times New Roman"/>
          <w:kern w:val="2"/>
          <w:sz w:val="21"/>
          <w:szCs w:val="24"/>
          <w:lang w:val="en-US" w:eastAsia="zh-CN" w:bidi="ar-SA"/>
        </w:rPr>
        <w:drawing>
          <wp:inline distT="0" distB="0" distL="114300" distR="114300">
            <wp:extent cx="3710305" cy="2639695"/>
            <wp:effectExtent l="0" t="0" r="10795" b="1905"/>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6"/>
                    <a:stretch>
                      <a:fillRect/>
                    </a:stretch>
                  </pic:blipFill>
                  <pic:spPr>
                    <a:xfrm>
                      <a:off x="0" y="0"/>
                      <a:ext cx="3710305" cy="2639695"/>
                    </a:xfrm>
                    <a:prstGeom prst="rect">
                      <a:avLst/>
                    </a:prstGeom>
                    <a:noFill/>
                    <a:ln>
                      <a:noFill/>
                    </a:ln>
                  </pic:spPr>
                </pic:pic>
              </a:graphicData>
            </a:graphic>
          </wp:inline>
        </w:drawing>
      </w:r>
    </w:p>
    <w:p w14:paraId="32D3952C">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仿宋" w:hAnsi="仿宋" w:eastAsia="仿宋" w:cs="仿宋"/>
          <w:kern w:val="2"/>
          <w:sz w:val="21"/>
          <w:szCs w:val="24"/>
          <w:lang w:val="en-US" w:eastAsia="zh-CN" w:bidi="ar-SA"/>
        </w:rPr>
      </w:pPr>
      <w:r>
        <w:rPr>
          <w:rFonts w:hint="eastAsia" w:ascii="仿宋" w:hAnsi="仿宋" w:eastAsia="仿宋" w:cs="仿宋"/>
          <w:kern w:val="2"/>
          <w:sz w:val="21"/>
          <w:szCs w:val="24"/>
          <w:lang w:val="en-US" w:eastAsia="zh-CN" w:bidi="ar-SA"/>
        </w:rPr>
        <w:t>图1-1 泸州市经济区位</w:t>
      </w:r>
    </w:p>
    <w:p w14:paraId="2DCE172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right="0" w:rightChars="0" w:firstLine="640" w:firstLineChars="200"/>
        <w:jc w:val="both"/>
        <w:textAlignment w:val="auto"/>
        <w:outlineLvl w:val="9"/>
        <w:rPr>
          <w:rFonts w:hint="eastAsia" w:ascii="仿宋" w:hAnsi="仿宋" w:eastAsia="仿宋" w:cs="仿宋"/>
          <w:sz w:val="32"/>
          <w:lang w:val="en-US" w:eastAsia="zh-CN"/>
        </w:rPr>
      </w:pPr>
      <w:r>
        <w:rPr>
          <w:rFonts w:hint="eastAsia" w:ascii="仿宋" w:hAnsi="仿宋" w:eastAsia="仿宋" w:cs="仿宋"/>
          <w:sz w:val="32"/>
          <w:lang w:val="en-US" w:eastAsia="zh-CN"/>
        </w:rPr>
        <w:t>泸州市地处川、滇、黔、渝四省市结合部，成都、重庆、昆明、贵阳联接交点，长江和沱江的交汇处，是全省唯一一个与滇、黔、渝三省市接壤的城市。多省际会的地理区位优势、多个经济区重叠影响的经济区位优势、长江黄金水道与川滇黔渝资源富集区的水路交汇点交通区位优势，使泸州具备成为川滇黔渝结合部区域交通枢纽和商贸物流中心的潜质。</w:t>
      </w:r>
    </w:p>
    <w:p w14:paraId="0224C5C6">
      <w:pPr>
        <w:pageBreakBefore w:val="0"/>
        <w:widowControl w:val="0"/>
        <w:wordWrap/>
        <w:topLinePunct w:val="0"/>
        <w:autoSpaceDE/>
        <w:autoSpaceDN/>
        <w:bidi w:val="0"/>
        <w:spacing w:line="360" w:lineRule="auto"/>
        <w:ind w:firstLine="0" w:firstLineChars="0"/>
        <w:jc w:val="center"/>
        <w:textAlignment w:val="auto"/>
        <w:rPr>
          <w:rFonts w:ascii="Calibri" w:hAnsi="Calibri" w:eastAsia="宋体" w:cs="Times New Roman"/>
          <w:kern w:val="2"/>
          <w:sz w:val="21"/>
          <w:szCs w:val="24"/>
          <w:lang w:val="en-US" w:eastAsia="zh-CN" w:bidi="ar-SA"/>
        </w:rPr>
      </w:pPr>
      <w:r>
        <w:rPr>
          <w:rFonts w:ascii="Calibri" w:hAnsi="Calibri" w:eastAsia="宋体" w:cs="Times New Roman"/>
          <w:kern w:val="2"/>
          <w:sz w:val="21"/>
          <w:szCs w:val="24"/>
          <w:lang w:val="en-US" w:eastAsia="zh-CN" w:bidi="ar-SA"/>
        </w:rPr>
        <w:drawing>
          <wp:inline distT="0" distB="0" distL="114300" distR="114300">
            <wp:extent cx="4361180" cy="4514215"/>
            <wp:effectExtent l="0" t="0" r="7620" b="698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4361180" cy="4514215"/>
                    </a:xfrm>
                    <a:prstGeom prst="rect">
                      <a:avLst/>
                    </a:prstGeom>
                    <a:noFill/>
                    <a:ln>
                      <a:noFill/>
                    </a:ln>
                  </pic:spPr>
                </pic:pic>
              </a:graphicData>
            </a:graphic>
          </wp:inline>
        </w:drawing>
      </w:r>
    </w:p>
    <w:p w14:paraId="55318262">
      <w:pPr>
        <w:pageBreakBefore w:val="0"/>
        <w:widowControl w:val="0"/>
        <w:wordWrap/>
        <w:topLinePunct w:val="0"/>
        <w:autoSpaceDE/>
        <w:autoSpaceDN/>
        <w:bidi w:val="0"/>
        <w:spacing w:line="360" w:lineRule="auto"/>
        <w:ind w:firstLine="0" w:firstLineChars="0"/>
        <w:jc w:val="center"/>
        <w:textAlignment w:val="auto"/>
        <w:rPr>
          <w:rFonts w:hint="eastAsia" w:ascii="仿宋" w:hAnsi="仿宋" w:eastAsia="仿宋" w:cs="仿宋"/>
          <w:kern w:val="2"/>
          <w:sz w:val="21"/>
          <w:szCs w:val="21"/>
          <w:lang w:val="en-US" w:eastAsia="zh-CN" w:bidi="ar-SA"/>
        </w:rPr>
      </w:pPr>
      <w:r>
        <w:rPr>
          <w:rFonts w:hint="eastAsia" w:ascii="仿宋" w:hAnsi="仿宋" w:eastAsia="仿宋" w:cs="仿宋"/>
          <w:kern w:val="2"/>
          <w:sz w:val="21"/>
          <w:szCs w:val="21"/>
          <w:lang w:val="en-US" w:eastAsia="zh-CN" w:bidi="ar-SA"/>
        </w:rPr>
        <w:t>图1-2  泸州市区域交通枢纽</w:t>
      </w:r>
    </w:p>
    <w:p w14:paraId="05F8BC4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right="0" w:rightChars="0" w:firstLine="640" w:firstLineChars="200"/>
        <w:jc w:val="both"/>
        <w:textAlignment w:val="auto"/>
        <w:outlineLvl w:val="9"/>
        <w:rPr>
          <w:rFonts w:hint="eastAsia" w:ascii="仿宋" w:hAnsi="仿宋" w:eastAsia="仿宋" w:cs="仿宋"/>
          <w:sz w:val="32"/>
          <w:lang w:val="en-US" w:eastAsia="zh-CN"/>
        </w:rPr>
      </w:pPr>
      <w:r>
        <w:rPr>
          <w:rFonts w:hint="eastAsia" w:ascii="仿宋" w:hAnsi="仿宋" w:eastAsia="仿宋" w:cs="仿宋"/>
          <w:sz w:val="32"/>
          <w:lang w:val="en-US" w:eastAsia="zh-CN"/>
        </w:rPr>
        <w:t>此外，泸州市借助泸州港通过与成都天府新区产业园区的联动发展，打造天府新区的临水港，弥补天府新区没有水运门户的短板，积极引导出入天府新区的货物在泸州港进行集输转运，借助四川省建设天府新区的契机，天府新区的强劲发展中，实现泸州港区的突破与提升。重庆已建设两路寸滩保税港区，成都需要寻找自己的出海通道（门户）。而泸州相比乐山、宜宾在航道和码头规模方面都占有明显优势，最有条件承担此功能。</w:t>
      </w:r>
    </w:p>
    <w:p w14:paraId="385AE9A7">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ascii="Calibri" w:hAnsi="Calibri" w:eastAsia="宋体" w:cs="Times New Roman"/>
          <w:kern w:val="2"/>
          <w:sz w:val="21"/>
          <w:szCs w:val="24"/>
          <w:lang w:val="en-US" w:eastAsia="zh-CN" w:bidi="ar-SA"/>
        </w:rPr>
      </w:pPr>
      <w:r>
        <w:rPr>
          <w:rFonts w:ascii="Calibri" w:hAnsi="Calibri" w:eastAsia="宋体" w:cs="Times New Roman"/>
          <w:kern w:val="2"/>
          <w:sz w:val="21"/>
          <w:szCs w:val="24"/>
          <w:lang w:val="en-US" w:eastAsia="zh-CN" w:bidi="ar-SA"/>
        </w:rPr>
        <w:drawing>
          <wp:inline distT="0" distB="0" distL="114300" distR="114300">
            <wp:extent cx="4143375" cy="4632960"/>
            <wp:effectExtent l="0" t="0" r="9525" b="25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8"/>
                    <a:stretch>
                      <a:fillRect/>
                    </a:stretch>
                  </pic:blipFill>
                  <pic:spPr>
                    <a:xfrm>
                      <a:off x="0" y="0"/>
                      <a:ext cx="4143375" cy="4632960"/>
                    </a:xfrm>
                    <a:prstGeom prst="rect">
                      <a:avLst/>
                    </a:prstGeom>
                    <a:noFill/>
                    <a:ln>
                      <a:noFill/>
                    </a:ln>
                  </pic:spPr>
                </pic:pic>
              </a:graphicData>
            </a:graphic>
          </wp:inline>
        </w:drawing>
      </w:r>
    </w:p>
    <w:p w14:paraId="7E967C1A">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仿宋" w:hAnsi="仿宋" w:eastAsia="仿宋" w:cs="仿宋"/>
          <w:kern w:val="2"/>
          <w:sz w:val="21"/>
          <w:szCs w:val="21"/>
          <w:lang w:val="en-US" w:eastAsia="zh-CN" w:bidi="ar-SA"/>
        </w:rPr>
      </w:pPr>
      <w:r>
        <w:rPr>
          <w:rFonts w:hint="eastAsia" w:ascii="仿宋" w:hAnsi="仿宋" w:eastAsia="仿宋" w:cs="仿宋"/>
          <w:kern w:val="2"/>
          <w:sz w:val="21"/>
          <w:szCs w:val="21"/>
          <w:lang w:val="en-US" w:eastAsia="zh-CN" w:bidi="ar-SA"/>
        </w:rPr>
        <w:t>图1-3 泸州临港物流园区</w:t>
      </w:r>
    </w:p>
    <w:p w14:paraId="18D423E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right="0" w:rightChars="0" w:firstLine="640" w:firstLineChars="200"/>
        <w:jc w:val="both"/>
        <w:textAlignment w:val="auto"/>
        <w:outlineLvl w:val="9"/>
        <w:rPr>
          <w:rFonts w:hint="eastAsia" w:ascii="仿宋" w:hAnsi="仿宋" w:eastAsia="仿宋" w:cs="仿宋"/>
          <w:sz w:val="32"/>
          <w:lang w:val="en-US" w:eastAsia="zh-CN"/>
        </w:rPr>
      </w:pPr>
      <w:r>
        <w:rPr>
          <w:rFonts w:hint="eastAsia" w:ascii="仿宋" w:hAnsi="仿宋" w:eastAsia="仿宋" w:cs="仿宋"/>
          <w:sz w:val="32"/>
          <w:lang w:val="en-US" w:eastAsia="zh-CN"/>
        </w:rPr>
        <w:t>改革开放以来，泸州市政府始终把工业发展摆在突出位置，以推动工业高质量发展为主线，依托中国（四川）自由贸易试验区川南临港片区制度创新优势、泸州长江经济开发区产业平台优势，深化供给侧结构性改革，做大做强特色产业，转型升级传统产业，培育壮大新兴产业，使全区工业发展稳中向好，工业经济实力不断增强，实现了“三增长”。</w:t>
      </w:r>
    </w:p>
    <w:p w14:paraId="517A46D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right="0" w:rightChars="0" w:firstLine="640" w:firstLineChars="200"/>
        <w:jc w:val="both"/>
        <w:textAlignment w:val="auto"/>
        <w:outlineLvl w:val="9"/>
        <w:rPr>
          <w:rFonts w:hint="eastAsia" w:ascii="仿宋" w:hAnsi="仿宋" w:eastAsia="仿宋" w:cs="仿宋"/>
          <w:sz w:val="32"/>
          <w:lang w:val="en-US" w:eastAsia="zh-CN"/>
        </w:rPr>
      </w:pPr>
      <w:r>
        <w:rPr>
          <w:rFonts w:hint="eastAsia" w:ascii="仿宋" w:hAnsi="仿宋" w:eastAsia="仿宋" w:cs="仿宋"/>
          <w:sz w:val="32"/>
          <w:lang w:val="en-US" w:eastAsia="zh-CN"/>
        </w:rPr>
        <w:t>泸州市围绕建设产城融合现代绿色港城的总体定位，奋力推进“综合枢纽兴区、现代工贸强区、统筹城乡富民”三大发展战略，近年来经济社会发展势头强劲，在四川省县级经济综合实力评价排位由20位上升到19位，2023年全市实现地区生产总值（GDP）2725.90亿元，按可比价格计算，比上年增长5.6%。其中，第一产业增加值281.40亿元，比上年增长3.9%；第二产业增加值1332.93亿元，增长5.8%；第三产业增加值1111.57亿元，增长5.7%。三次产业对经济增长的贡献率分别为8.2%、50.2%和41.6%，分别拉动经济增长0.5、2.8、2.3个百分点。三次产业结构由上年的10.7：49.4：39.9调整为10.3：48.9：40.8。全年人均地区生产总值63913元，比上年增长5.5%。</w:t>
      </w:r>
    </w:p>
    <w:p w14:paraId="5B3A3C7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right="0" w:rightChars="0" w:firstLine="640" w:firstLineChars="200"/>
        <w:jc w:val="both"/>
        <w:textAlignment w:val="auto"/>
        <w:outlineLvl w:val="9"/>
        <w:rPr>
          <w:rFonts w:hint="eastAsia" w:ascii="仿宋" w:hAnsi="仿宋" w:eastAsia="仿宋" w:cs="仿宋"/>
          <w:sz w:val="32"/>
          <w:lang w:val="en-US" w:eastAsia="zh-CN"/>
        </w:rPr>
      </w:pPr>
      <w:r>
        <w:rPr>
          <w:rFonts w:hint="eastAsia" w:ascii="仿宋" w:hAnsi="仿宋" w:eastAsia="仿宋" w:cs="仿宋"/>
          <w:sz w:val="32"/>
          <w:lang w:val="en-US" w:eastAsia="zh-CN"/>
        </w:rPr>
        <w:t>泸州市各项经济数据都处于良性区间，均有助于项目平稳实施产生效益。</w:t>
      </w:r>
    </w:p>
    <w:p w14:paraId="2FF9ED6C">
      <w:pPr>
        <w:keepNext/>
        <w:keepLines/>
        <w:pageBreakBefore w:val="0"/>
        <w:widowControl/>
        <w:numPr>
          <w:ilvl w:val="0"/>
          <w:numId w:val="0"/>
        </w:numPr>
        <w:kinsoku/>
        <w:wordWrap/>
        <w:overflowPunct/>
        <w:topLinePunct w:val="0"/>
        <w:autoSpaceDE/>
        <w:autoSpaceDN/>
        <w:bidi w:val="0"/>
        <w:adjustRightInd w:val="0"/>
        <w:snapToGrid/>
        <w:spacing w:before="10" w:beforeLines="0" w:beforeAutospacing="0" w:after="10" w:afterLines="0" w:afterAutospacing="0" w:line="360" w:lineRule="auto"/>
        <w:jc w:val="both"/>
        <w:textAlignment w:val="auto"/>
        <w:outlineLvl w:val="1"/>
        <w:rPr>
          <w:rFonts w:hint="eastAsia" w:ascii="楷体" w:hAnsi="楷体" w:eastAsia="楷体" w:cs="楷体"/>
          <w:b/>
          <w:bCs w:val="0"/>
          <w:kern w:val="2"/>
          <w:sz w:val="32"/>
          <w:szCs w:val="24"/>
          <w:lang w:val="en-US" w:eastAsia="zh-CN" w:bidi="ar-SA"/>
        </w:rPr>
      </w:pPr>
      <w:bookmarkStart w:id="1" w:name="_Toc31060_WPSOffice_Level2"/>
      <w:bookmarkStart w:id="2" w:name="_Toc19422_WPSOffice_Level2"/>
      <w:bookmarkStart w:id="3" w:name="_Toc27891"/>
      <w:bookmarkStart w:id="4" w:name="_Toc21669_WPSOffice_Level2"/>
      <w:bookmarkStart w:id="5" w:name="_Toc9056_WPSOffice_Level2"/>
      <w:bookmarkStart w:id="6" w:name="_Toc6598"/>
      <w:bookmarkStart w:id="7" w:name="_Toc19596_WPSOffice_Level2"/>
      <w:bookmarkStart w:id="8" w:name="_Toc22451"/>
      <w:r>
        <w:rPr>
          <w:rFonts w:hint="eastAsia" w:ascii="楷体" w:hAnsi="楷体" w:eastAsia="楷体" w:cs="楷体"/>
          <w:b/>
          <w:bCs w:val="0"/>
          <w:kern w:val="2"/>
          <w:sz w:val="32"/>
          <w:szCs w:val="24"/>
          <w:lang w:val="en-US" w:eastAsia="zh-CN" w:bidi="ar-SA"/>
        </w:rPr>
        <w:t>（二）泸州市城市总规及区域控制性规划概况</w:t>
      </w:r>
      <w:bookmarkEnd w:id="1"/>
      <w:bookmarkEnd w:id="2"/>
      <w:bookmarkEnd w:id="3"/>
      <w:bookmarkEnd w:id="4"/>
      <w:bookmarkEnd w:id="5"/>
      <w:bookmarkEnd w:id="6"/>
      <w:bookmarkEnd w:id="7"/>
      <w:bookmarkEnd w:id="8"/>
    </w:p>
    <w:p w14:paraId="2AD400F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right="0" w:rightChars="0" w:firstLine="640" w:firstLineChars="200"/>
        <w:jc w:val="both"/>
        <w:textAlignment w:val="auto"/>
        <w:outlineLvl w:val="9"/>
        <w:rPr>
          <w:rFonts w:hint="default" w:ascii="仿宋" w:hAnsi="仿宋" w:eastAsia="仿宋" w:cs="Times New Roman"/>
          <w:sz w:val="32"/>
          <w:lang w:val="en-US" w:eastAsia="zh-CN"/>
        </w:rPr>
      </w:pPr>
      <w:r>
        <w:rPr>
          <w:rFonts w:hint="eastAsia" w:ascii="仿宋" w:hAnsi="仿宋" w:eastAsia="仿宋" w:cs="仿宋"/>
          <w:color w:val="000000"/>
          <w:sz w:val="32"/>
          <w:szCs w:val="32"/>
          <w:lang w:val="en-US" w:eastAsia="zh-CN"/>
        </w:rPr>
        <w:t>根据泸州市</w:t>
      </w:r>
      <w:r>
        <w:rPr>
          <w:rFonts w:hint="eastAsia" w:ascii="仿宋" w:hAnsi="仿宋" w:eastAsia="仿宋" w:cs="仿宋"/>
          <w:color w:val="000000"/>
          <w:sz w:val="32"/>
          <w:szCs w:val="32"/>
        </w:rPr>
        <w:t>《泸州市城市总体规划（2010-2030）》</w:t>
      </w:r>
      <w:r>
        <w:rPr>
          <w:rFonts w:hint="eastAsia" w:ascii="仿宋" w:hAnsi="仿宋" w:eastAsia="仿宋" w:cs="仿宋"/>
          <w:color w:val="000000"/>
          <w:sz w:val="32"/>
          <w:szCs w:val="32"/>
          <w:lang w:eastAsia="zh-CN"/>
        </w:rPr>
        <w:t>，</w:t>
      </w:r>
      <w:r>
        <w:rPr>
          <w:rFonts w:hint="eastAsia" w:ascii="仿宋" w:hAnsi="仿宋" w:eastAsia="仿宋" w:cs="仿宋"/>
          <w:color w:val="000000"/>
          <w:sz w:val="32"/>
          <w:szCs w:val="32"/>
          <w:lang w:val="en-US" w:eastAsia="zh-CN"/>
        </w:rPr>
        <w:t>泸州市政府</w:t>
      </w:r>
      <w:r>
        <w:rPr>
          <w:rFonts w:hint="eastAsia" w:ascii="仿宋" w:hAnsi="仿宋" w:eastAsia="仿宋" w:cs="仿宋"/>
          <w:color w:val="000000"/>
          <w:sz w:val="32"/>
          <w:szCs w:val="32"/>
        </w:rPr>
        <w:t>于2017年启动了泸州市城市总体规划修编工作，明确泸州市城市总体规划发展方向为：“北进、南连、东拓、西延”</w:t>
      </w:r>
      <w:r>
        <w:rPr>
          <w:rFonts w:hint="eastAsia" w:ascii="仿宋" w:hAnsi="仿宋" w:eastAsia="仿宋" w:cs="仿宋"/>
          <w:color w:val="000000"/>
          <w:sz w:val="32"/>
          <w:szCs w:val="32"/>
          <w:lang w:eastAsia="zh-CN"/>
        </w:rPr>
        <w:t>。</w:t>
      </w:r>
      <w:r>
        <w:rPr>
          <w:rFonts w:hint="eastAsia" w:ascii="仿宋" w:hAnsi="仿宋" w:eastAsia="仿宋" w:cs="仿宋"/>
          <w:color w:val="000000"/>
          <w:sz w:val="32"/>
          <w:szCs w:val="32"/>
          <w:lang w:val="en-US" w:eastAsia="zh-CN"/>
        </w:rPr>
        <w:t>现阶段泸州市在争创全省经济副中心，建设川渝滇黔结合部区域中心城市和成渝经济区南部中心城市，推动城市高质量发展，拓展城市发展新空间，优化城市功能布局。本项目作为改善泸州市重点建设的</w:t>
      </w:r>
      <w:r>
        <w:rPr>
          <w:rFonts w:hint="eastAsia" w:ascii="仿宋" w:hAnsi="仿宋" w:eastAsia="仿宋" w:cs="仿宋"/>
          <w:color w:val="auto"/>
          <w:sz w:val="32"/>
          <w:szCs w:val="32"/>
          <w:lang w:val="en-US" w:eastAsia="zh-CN"/>
        </w:rPr>
        <w:t>保障性安居工程，符合泸州市城市总体规划。</w:t>
      </w:r>
    </w:p>
    <w:p w14:paraId="4640A947">
      <w:pPr>
        <w:pageBreakBefore w:val="0"/>
        <w:widowControl w:val="0"/>
        <w:wordWrap/>
        <w:topLinePunct w:val="0"/>
        <w:autoSpaceDE/>
        <w:autoSpaceDN/>
        <w:bidi w:val="0"/>
        <w:spacing w:line="360" w:lineRule="auto"/>
        <w:ind w:firstLine="0" w:firstLineChars="0"/>
        <w:jc w:val="center"/>
        <w:textAlignment w:val="auto"/>
        <w:rPr>
          <w:rFonts w:hint="eastAsia" w:ascii="Calibri" w:hAnsi="Calibri" w:eastAsia="宋体" w:cs="Times New Roman"/>
          <w:kern w:val="2"/>
          <w:sz w:val="21"/>
          <w:szCs w:val="21"/>
          <w:lang w:val="en-US" w:eastAsia="zh-CN" w:bidi="ar-SA"/>
        </w:rPr>
      </w:pPr>
      <w:r>
        <w:rPr>
          <w:rFonts w:hint="eastAsia" w:ascii="Calibri" w:hAnsi="Calibri" w:eastAsia="宋体" w:cs="Times New Roman"/>
          <w:kern w:val="2"/>
          <w:sz w:val="21"/>
          <w:szCs w:val="21"/>
          <w:lang w:val="en-US" w:eastAsia="zh-CN" w:bidi="ar-SA"/>
        </w:rPr>
        <w:drawing>
          <wp:inline distT="0" distB="0" distL="114300" distR="114300">
            <wp:extent cx="3727450" cy="5022850"/>
            <wp:effectExtent l="0" t="0" r="6350" b="6350"/>
            <wp:docPr id="4" name="图片 8" descr="泸州市城市总体规划（2010-2030年）与泸州市中心城区土地利用总体规划（2006-2020年）基本农田范围示意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8" descr="泸州市城市总体规划（2010-2030年）与泸州市中心城区土地利用总体规划（2006-2020年）基本农田范围示意图"/>
                    <pic:cNvPicPr>
                      <a:picLocks noChangeAspect="1"/>
                    </pic:cNvPicPr>
                  </pic:nvPicPr>
                  <pic:blipFill>
                    <a:blip r:embed="rId9"/>
                    <a:stretch>
                      <a:fillRect/>
                    </a:stretch>
                  </pic:blipFill>
                  <pic:spPr>
                    <a:xfrm>
                      <a:off x="0" y="0"/>
                      <a:ext cx="3727450" cy="5022850"/>
                    </a:xfrm>
                    <a:prstGeom prst="rect">
                      <a:avLst/>
                    </a:prstGeom>
                    <a:noFill/>
                    <a:ln>
                      <a:noFill/>
                    </a:ln>
                  </pic:spPr>
                </pic:pic>
              </a:graphicData>
            </a:graphic>
          </wp:inline>
        </w:drawing>
      </w:r>
    </w:p>
    <w:p w14:paraId="67B13331">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仿宋" w:hAnsi="仿宋" w:eastAsia="仿宋" w:cs="仿宋"/>
          <w:kern w:val="2"/>
          <w:sz w:val="21"/>
          <w:szCs w:val="24"/>
          <w:lang w:val="en-US" w:eastAsia="zh-CN" w:bidi="ar-SA"/>
        </w:rPr>
      </w:pPr>
      <w:r>
        <w:rPr>
          <w:rFonts w:hint="eastAsia" w:ascii="仿宋" w:hAnsi="仿宋" w:eastAsia="仿宋" w:cs="仿宋"/>
          <w:kern w:val="2"/>
          <w:sz w:val="21"/>
          <w:szCs w:val="24"/>
          <w:lang w:val="en-US" w:eastAsia="zh-CN" w:bidi="ar-SA"/>
        </w:rPr>
        <w:t>图1-4 泸州城市总体规划</w:t>
      </w:r>
    </w:p>
    <w:p w14:paraId="3DECEEBE">
      <w:pPr>
        <w:keepNext/>
        <w:keepLines/>
        <w:pageBreakBefore w:val="0"/>
        <w:widowControl/>
        <w:numPr>
          <w:ilvl w:val="0"/>
          <w:numId w:val="0"/>
        </w:numPr>
        <w:tabs>
          <w:tab w:val="left" w:pos="0"/>
          <w:tab w:val="left" w:pos="3285"/>
        </w:tabs>
        <w:kinsoku/>
        <w:wordWrap/>
        <w:overflowPunct/>
        <w:topLinePunct w:val="0"/>
        <w:autoSpaceDE/>
        <w:autoSpaceDN/>
        <w:bidi w:val="0"/>
        <w:adjustRightInd w:val="0"/>
        <w:snapToGrid w:val="0"/>
        <w:spacing w:before="30" w:beforeLines="0" w:beforeAutospacing="0" w:after="30" w:afterLines="0" w:afterAutospacing="0" w:line="360" w:lineRule="auto"/>
        <w:jc w:val="both"/>
        <w:textAlignment w:val="auto"/>
        <w:outlineLvl w:val="1"/>
        <w:rPr>
          <w:rFonts w:hint="eastAsia" w:ascii="楷体" w:hAnsi="楷体" w:eastAsia="楷体" w:cs="楷体"/>
          <w:b/>
          <w:bCs/>
          <w:kern w:val="2"/>
          <w:sz w:val="32"/>
          <w:szCs w:val="28"/>
          <w:lang w:val="en-US" w:eastAsia="zh-CN" w:bidi="ar-SA"/>
        </w:rPr>
      </w:pPr>
      <w:bookmarkStart w:id="9" w:name="_Toc12541"/>
      <w:bookmarkStart w:id="10" w:name="_Toc4442_WPSOffice_Level2"/>
      <w:bookmarkStart w:id="11" w:name="_Toc12430_WPSOffice_Level2"/>
      <w:bookmarkStart w:id="12" w:name="_Toc17225"/>
      <w:bookmarkStart w:id="13" w:name="_Toc18266"/>
      <w:r>
        <w:rPr>
          <w:rFonts w:hint="eastAsia" w:ascii="楷体" w:hAnsi="楷体" w:eastAsia="楷体" w:cs="楷体"/>
          <w:b/>
          <w:bCs/>
          <w:kern w:val="2"/>
          <w:sz w:val="32"/>
          <w:szCs w:val="28"/>
          <w:lang w:val="en-US" w:eastAsia="zh-CN" w:bidi="ar-SA"/>
        </w:rPr>
        <w:t>(三)行业专项规划概况</w:t>
      </w:r>
      <w:bookmarkEnd w:id="9"/>
      <w:bookmarkEnd w:id="10"/>
      <w:bookmarkEnd w:id="11"/>
      <w:bookmarkEnd w:id="12"/>
      <w:bookmarkEnd w:id="13"/>
    </w:p>
    <w:p w14:paraId="1D59F691">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both"/>
        <w:textAlignment w:val="auto"/>
        <w:rPr>
          <w:rFonts w:hint="eastAsia" w:ascii="仿宋" w:hAnsi="仿宋" w:eastAsia="仿宋" w:cs="仿宋"/>
          <w:i w:val="0"/>
          <w:caps w:val="0"/>
          <w:color w:val="333333"/>
          <w:spacing w:val="0"/>
          <w:kern w:val="2"/>
          <w:sz w:val="32"/>
          <w:szCs w:val="32"/>
          <w:shd w:val="clear" w:fill="FFFFFF"/>
          <w:lang w:val="en-US" w:eastAsia="zh-CN" w:bidi="ar-SA"/>
        </w:rPr>
      </w:pPr>
      <w:r>
        <w:rPr>
          <w:rFonts w:hint="eastAsia" w:ascii="仿宋" w:hAnsi="仿宋" w:eastAsia="仿宋" w:cs="仿宋"/>
          <w:i w:val="0"/>
          <w:caps w:val="0"/>
          <w:color w:val="333333"/>
          <w:spacing w:val="0"/>
          <w:kern w:val="2"/>
          <w:sz w:val="32"/>
          <w:szCs w:val="32"/>
          <w:shd w:val="clear" w:fill="FFFFFF"/>
          <w:lang w:val="en-US" w:eastAsia="zh-CN" w:bidi="ar-SA"/>
        </w:rPr>
        <w:t>2007年，建设部就提出《关于开展旧住宅区整治改造的指导意见》（建住房[2007]109号），《意见》指出：旧住宅区整治改造属于为民服务实事工程，具有明显的社会效益，是政府履行公共服务职能的重要内容。要按照“公共服务均等化”的要求，优化公共资源配置，对旧住宅区整治改造给予一定倾斜，加大整治改造的资金投入，逐步使市政公用设施、公共服务设施以及其他城市基础设施覆盖城市旧住宅区，保证旧住宅区的广大居民共享城市建设与发展的成果。同时《意见》还指出：要科学合理确定旧住宅区整治改造的内容，其中包括配套设施的完善。主要包括旧住宅区内配套设施设备（社区服务设施、文化体育设施、安全防范设施、管理服务用房等）的补建，市政公用设施（供水、供气、供暖、垃圾和污水处理等设施）的健全，其他城市基础设施（供电、电信、邮政等设施）的完善。</w:t>
      </w:r>
    </w:p>
    <w:p w14:paraId="1CBCB3B0">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both"/>
        <w:textAlignment w:val="auto"/>
        <w:rPr>
          <w:rFonts w:hint="eastAsia" w:ascii="仿宋" w:hAnsi="仿宋" w:eastAsia="仿宋" w:cs="仿宋"/>
          <w:i w:val="0"/>
          <w:caps w:val="0"/>
          <w:color w:val="333333"/>
          <w:spacing w:val="0"/>
          <w:kern w:val="2"/>
          <w:sz w:val="32"/>
          <w:szCs w:val="32"/>
          <w:shd w:val="clear" w:fill="FFFFFF"/>
          <w:lang w:val="en-US" w:eastAsia="zh-CN" w:bidi="ar-SA"/>
        </w:rPr>
      </w:pPr>
      <w:r>
        <w:rPr>
          <w:rFonts w:hint="eastAsia" w:ascii="仿宋" w:hAnsi="仿宋" w:eastAsia="仿宋" w:cs="仿宋"/>
          <w:i w:val="0"/>
          <w:caps w:val="0"/>
          <w:color w:val="333333"/>
          <w:spacing w:val="0"/>
          <w:kern w:val="2"/>
          <w:sz w:val="32"/>
          <w:szCs w:val="32"/>
          <w:shd w:val="clear" w:fill="FFFFFF"/>
          <w:lang w:val="en-US" w:eastAsia="zh-CN" w:bidi="ar-SA"/>
        </w:rPr>
        <w:t>2015年，国务院发布《关于进一步做好城镇棚户区和城乡危房改造及配套基础设施建设有关工作的意见》（国发〔2015〕37号），要求各地区、各有关部门认真贯彻落实党中央、国务院决策部署，持续加大城镇棚户区和城乡危房改造力度，进一步做好城镇棚户区和城乡危房改造及配套基础设施建设工作，切实解决群众住房困难，有效促进经济增长。</w:t>
      </w:r>
    </w:p>
    <w:p w14:paraId="18C6667B">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both"/>
        <w:textAlignment w:val="auto"/>
        <w:rPr>
          <w:rFonts w:hint="eastAsia" w:ascii="仿宋" w:hAnsi="仿宋" w:eastAsia="仿宋" w:cs="仿宋"/>
          <w:i w:val="0"/>
          <w:caps w:val="0"/>
          <w:color w:val="333333"/>
          <w:spacing w:val="0"/>
          <w:kern w:val="2"/>
          <w:sz w:val="32"/>
          <w:szCs w:val="32"/>
          <w:shd w:val="clear" w:fill="FFFFFF"/>
          <w:lang w:val="en-US" w:eastAsia="zh-CN" w:bidi="ar-SA"/>
        </w:rPr>
      </w:pPr>
      <w:r>
        <w:rPr>
          <w:rFonts w:hint="eastAsia" w:ascii="仿宋" w:hAnsi="仿宋" w:eastAsia="仿宋" w:cs="仿宋"/>
          <w:i w:val="0"/>
          <w:caps w:val="0"/>
          <w:color w:val="333333"/>
          <w:spacing w:val="0"/>
          <w:kern w:val="2"/>
          <w:sz w:val="32"/>
          <w:szCs w:val="32"/>
          <w:shd w:val="clear" w:fill="FFFFFF"/>
          <w:lang w:val="en-US" w:eastAsia="zh-CN" w:bidi="ar-SA"/>
        </w:rPr>
        <w:t>2019年以来，住建部、发改委、财政部印发《关于做好2019年老旧小区改造工作的通知》及国务院办公厅《关于做好城镇老老旧小区改造工作的指导意见》国办发【2020】23号，全面推进城镇老旧小区改造，根据住建部相关统计数据显示，全国共有老旧小区近16万个，涉及居民上亿人，超过4200万户，建筑面积约为40亿平方米。随着社会的不断进步，大多数的老旧小区已经落后于时代的潮流。近年来，我国城市进程加快，导致老旧小区没有配套的设施，同时存在着严重的违章搭建等问题，这直接影响到居民的生活质量与美好城市的建设。我国各大城市城市建设的重要环节就是老旧小区改造，老区改造工作关系城市内部广大人民群众的基本住房利益，能够从源头上解决老城区居民的生活难题，改善老城区群众的生活状况，是我国实现全面小康社会的要求。目前，国家越来越重视老旧小区改造工作，《中共中央国务院关于进一步加强城市规划建设管理的若干意见》中明确提出：要稳步实施城中村改造，有序推进老旧住宅小区的综合治理、危房和非成套住房改造，到2020年基本完成现有的城镇棚户区、城中村和危房改造近年来，为加快城市建设步伐，立足把区域性优势转化成城镇发展动力，最大限度的提升城市功能和品味，积极构筑“大商贸、大市场、大流通”的发展格局，积极推进建设实施区域性商贸物流中心城市战略，因此对原有城市功能进行升级和旧城区改造已迫在眉睫。为此，政府出台了多项针对旧城区改造、棚户区改造和招商引资等各项优惠政策，为各投资方营造良好的投资建设环境。</w:t>
      </w:r>
    </w:p>
    <w:p w14:paraId="6F813F67">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both"/>
        <w:textAlignment w:val="auto"/>
        <w:rPr>
          <w:rFonts w:hint="eastAsia" w:ascii="仿宋" w:hAnsi="仿宋" w:eastAsia="仿宋" w:cs="仿宋"/>
          <w:i w:val="0"/>
          <w:caps w:val="0"/>
          <w:color w:val="333333"/>
          <w:spacing w:val="0"/>
          <w:kern w:val="2"/>
          <w:sz w:val="32"/>
          <w:szCs w:val="32"/>
          <w:shd w:val="clear" w:fill="FFFFFF"/>
          <w:lang w:val="en-US" w:eastAsia="zh-CN" w:bidi="ar-SA"/>
        </w:rPr>
      </w:pPr>
      <w:r>
        <w:rPr>
          <w:rFonts w:hint="eastAsia" w:ascii="仿宋" w:hAnsi="仿宋" w:eastAsia="仿宋" w:cs="仿宋"/>
          <w:i w:val="0"/>
          <w:caps w:val="0"/>
          <w:color w:val="333333"/>
          <w:spacing w:val="0"/>
          <w:kern w:val="2"/>
          <w:sz w:val="32"/>
          <w:szCs w:val="32"/>
          <w:shd w:val="clear" w:fill="FFFFFF"/>
          <w:lang w:val="en-US" w:eastAsia="zh-CN" w:bidi="ar-SA"/>
        </w:rPr>
        <w:t>目前泸州市制定出台了《泸州市城区“三无院落”三年整治方案》，对无门卫、无物管、无自治组织的老旧小区通过修建门卫室强化物防、安装高清视频监控加强技防，开展路面修补、下水道疏通，绿化美化环境等举措改善小区居住环境。截至2019年8月，泸州市共整治“三无院落”465个。</w:t>
      </w:r>
    </w:p>
    <w:p w14:paraId="103EE221">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both"/>
        <w:textAlignment w:val="auto"/>
        <w:rPr>
          <w:rFonts w:hint="eastAsia" w:ascii="仿宋" w:hAnsi="仿宋" w:eastAsia="仿宋" w:cs="仿宋"/>
          <w:i w:val="0"/>
          <w:caps w:val="0"/>
          <w:color w:val="333333"/>
          <w:spacing w:val="0"/>
          <w:kern w:val="2"/>
          <w:sz w:val="32"/>
          <w:szCs w:val="32"/>
          <w:shd w:val="clear" w:fill="FFFFFF"/>
          <w:lang w:val="en-US" w:eastAsia="zh-CN" w:bidi="ar-SA"/>
        </w:rPr>
      </w:pPr>
      <w:r>
        <w:rPr>
          <w:rFonts w:hint="eastAsia" w:ascii="仿宋" w:hAnsi="仿宋" w:eastAsia="仿宋" w:cs="仿宋"/>
          <w:i w:val="0"/>
          <w:caps w:val="0"/>
          <w:color w:val="333333"/>
          <w:spacing w:val="0"/>
          <w:kern w:val="2"/>
          <w:sz w:val="32"/>
          <w:szCs w:val="32"/>
          <w:shd w:val="clear" w:fill="FFFFFF"/>
          <w:lang w:val="en-US" w:eastAsia="zh-CN" w:bidi="ar-SA"/>
        </w:rPr>
        <w:t>此外，泸州市还以创建全国文明城市为契机，对主城区老旧小区卫生环境、道路坑洼、楼道墙面污损、无障碍设施、消防设施、文体设施等进行全面更新改造。截至2019年8月，共改造老旧小区800余个。积极开展水、电、气户表改造，统一安装智能户表，已改造老旧小区1200余个。</w:t>
      </w:r>
    </w:p>
    <w:p w14:paraId="21D8A3C5">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both"/>
        <w:textAlignment w:val="auto"/>
        <w:rPr>
          <w:rFonts w:hint="eastAsia" w:ascii="仿宋" w:hAnsi="仿宋" w:eastAsia="仿宋" w:cs="仿宋"/>
          <w:i w:val="0"/>
          <w:caps w:val="0"/>
          <w:color w:val="333333"/>
          <w:spacing w:val="0"/>
          <w:kern w:val="2"/>
          <w:sz w:val="32"/>
          <w:szCs w:val="32"/>
          <w:shd w:val="clear" w:fill="FFFFFF"/>
          <w:lang w:val="en-US" w:eastAsia="zh-CN" w:bidi="ar-SA"/>
        </w:rPr>
      </w:pPr>
      <w:r>
        <w:rPr>
          <w:rFonts w:hint="eastAsia" w:ascii="仿宋" w:hAnsi="仿宋" w:eastAsia="仿宋" w:cs="仿宋"/>
          <w:i w:val="0"/>
          <w:caps w:val="0"/>
          <w:color w:val="333333"/>
          <w:spacing w:val="0"/>
          <w:kern w:val="2"/>
          <w:sz w:val="32"/>
          <w:szCs w:val="32"/>
          <w:shd w:val="clear" w:fill="FFFFFF"/>
          <w:lang w:val="en-US" w:eastAsia="zh-CN" w:bidi="ar-SA"/>
        </w:rPr>
        <w:t>本项目建设为落实国家和地区政府关于落实老旧小区改造建设的相关规划，这不仅是一个群众愿望特别强烈的民生工程，同时也是一个发展工程。</w:t>
      </w:r>
    </w:p>
    <w:p w14:paraId="46AF084C">
      <w:pPr>
        <w:keepNext/>
        <w:keepLines/>
        <w:pageBreakBefore w:val="0"/>
        <w:widowControl/>
        <w:numPr>
          <w:ilvl w:val="0"/>
          <w:numId w:val="0"/>
        </w:numPr>
        <w:kinsoku/>
        <w:wordWrap/>
        <w:overflowPunct/>
        <w:topLinePunct w:val="0"/>
        <w:autoSpaceDE/>
        <w:autoSpaceDN/>
        <w:bidi w:val="0"/>
        <w:adjustRightInd w:val="0"/>
        <w:snapToGrid/>
        <w:spacing w:before="10" w:beforeLines="0" w:beforeAutospacing="0" w:after="10" w:afterLines="0" w:afterAutospacing="0" w:line="360" w:lineRule="auto"/>
        <w:ind w:leftChars="0"/>
        <w:jc w:val="both"/>
        <w:textAlignment w:val="auto"/>
        <w:outlineLvl w:val="1"/>
        <w:rPr>
          <w:rFonts w:hint="default" w:ascii="楷体" w:hAnsi="楷体" w:eastAsia="楷体" w:cs="楷体"/>
          <w:kern w:val="2"/>
          <w:sz w:val="32"/>
          <w:szCs w:val="24"/>
          <w:lang w:val="en-US" w:eastAsia="zh-CN" w:bidi="ar-SA"/>
        </w:rPr>
      </w:pPr>
      <w:bookmarkStart w:id="14" w:name="_Toc25557_WPSOffice_Level2"/>
      <w:bookmarkStart w:id="15" w:name="_Toc24116_WPSOffice_Level2"/>
      <w:bookmarkStart w:id="16" w:name="_Toc24659"/>
      <w:bookmarkStart w:id="17" w:name="_Toc29815"/>
      <w:bookmarkStart w:id="18" w:name="_Toc28144"/>
      <w:r>
        <w:rPr>
          <w:rFonts w:hint="eastAsia" w:ascii="楷体" w:hAnsi="楷体" w:eastAsia="楷体" w:cs="楷体"/>
          <w:kern w:val="2"/>
          <w:sz w:val="32"/>
          <w:szCs w:val="24"/>
          <w:lang w:val="en-US" w:eastAsia="zh-CN" w:bidi="ar-SA"/>
        </w:rPr>
        <w:t>（四）项目概况</w:t>
      </w:r>
      <w:bookmarkEnd w:id="14"/>
      <w:bookmarkEnd w:id="15"/>
      <w:bookmarkEnd w:id="16"/>
      <w:bookmarkEnd w:id="17"/>
      <w:bookmarkEnd w:id="18"/>
    </w:p>
    <w:p w14:paraId="08D557BA">
      <w:pPr>
        <w:keepNext w:val="0"/>
        <w:keepLines w:val="0"/>
        <w:pageBreakBefore w:val="0"/>
        <w:widowControl/>
        <w:kinsoku/>
        <w:wordWrap/>
        <w:overflowPunct/>
        <w:topLinePunct w:val="0"/>
        <w:autoSpaceDE/>
        <w:autoSpaceDN/>
        <w:bidi w:val="0"/>
        <w:adjustRightInd w:val="0"/>
        <w:snapToGrid/>
        <w:spacing w:before="0" w:beforeLines="0" w:after="0" w:afterLines="0" w:line="360" w:lineRule="auto"/>
        <w:ind w:left="0" w:leftChars="0" w:firstLine="640" w:firstLineChars="200"/>
        <w:jc w:val="both"/>
        <w:textAlignment w:val="auto"/>
        <w:rPr>
          <w:rFonts w:hint="default" w:ascii="仿宋" w:hAnsi="仿宋" w:eastAsia="仿宋" w:cs="仿宋"/>
          <w:b w:val="0"/>
          <w:kern w:val="0"/>
          <w:sz w:val="32"/>
          <w:szCs w:val="32"/>
          <w:lang w:val="en-US" w:eastAsia="zh-CN" w:bidi="ar-SA"/>
        </w:rPr>
      </w:pPr>
      <w:r>
        <w:rPr>
          <w:rFonts w:hint="eastAsia" w:ascii="仿宋" w:hAnsi="仿宋" w:eastAsia="仿宋" w:cs="仿宋"/>
          <w:b w:val="0"/>
          <w:kern w:val="0"/>
          <w:sz w:val="32"/>
          <w:szCs w:val="32"/>
          <w:lang w:val="en-US" w:eastAsia="zh-CN" w:bidi="ar-SA"/>
        </w:rPr>
        <w:t>项目名称：</w:t>
      </w:r>
      <w:r>
        <w:rPr>
          <w:rFonts w:hint="eastAsia" w:ascii="仿宋" w:hAnsi="仿宋" w:eastAsia="仿宋" w:cs="仿宋"/>
          <w:color w:val="auto"/>
          <w:kern w:val="0"/>
          <w:sz w:val="32"/>
          <w:szCs w:val="32"/>
          <w:lang w:val="en-US" w:eastAsia="zh-CN" w:bidi="ar-SA"/>
        </w:rPr>
        <w:t>泸州市城南片区老旧小区改造及地下管网更新改造项目</w:t>
      </w:r>
    </w:p>
    <w:p w14:paraId="3A496B69">
      <w:pPr>
        <w:keepNext w:val="0"/>
        <w:keepLines w:val="0"/>
        <w:pageBreakBefore w:val="0"/>
        <w:widowControl/>
        <w:kinsoku/>
        <w:wordWrap/>
        <w:overflowPunct/>
        <w:topLinePunct w:val="0"/>
        <w:autoSpaceDE/>
        <w:autoSpaceDN/>
        <w:bidi w:val="0"/>
        <w:adjustRightInd w:val="0"/>
        <w:snapToGrid/>
        <w:spacing w:before="0" w:beforeLines="0" w:after="0" w:afterLines="0" w:line="360" w:lineRule="auto"/>
        <w:ind w:firstLine="640" w:firstLineChars="200"/>
        <w:jc w:val="both"/>
        <w:textAlignment w:val="auto"/>
        <w:rPr>
          <w:rFonts w:hint="default" w:ascii="仿宋" w:hAnsi="仿宋" w:eastAsia="仿宋" w:cs="仿宋"/>
          <w:b w:val="0"/>
          <w:kern w:val="0"/>
          <w:sz w:val="32"/>
          <w:szCs w:val="32"/>
          <w:lang w:val="en-US" w:eastAsia="zh-CN" w:bidi="ar-SA"/>
        </w:rPr>
      </w:pPr>
      <w:r>
        <w:rPr>
          <w:rFonts w:hint="eastAsia" w:ascii="仿宋" w:hAnsi="仿宋" w:eastAsia="仿宋" w:cs="仿宋"/>
          <w:b w:val="0"/>
          <w:kern w:val="0"/>
          <w:sz w:val="32"/>
          <w:szCs w:val="32"/>
          <w:lang w:val="en-US" w:eastAsia="zh-CN" w:bidi="ar-SA"/>
        </w:rPr>
        <w:t>项目所属领域：</w:t>
      </w:r>
      <w:r>
        <w:rPr>
          <w:rFonts w:hint="eastAsia" w:ascii="仿宋" w:hAnsi="仿宋" w:eastAsia="仿宋" w:cs="仿宋"/>
          <w:color w:val="auto"/>
          <w:kern w:val="0"/>
          <w:sz w:val="32"/>
          <w:szCs w:val="32"/>
          <w:lang w:val="en-US" w:eastAsia="zh-CN" w:bidi="ar-SA"/>
        </w:rPr>
        <w:t>城镇老旧小区改造</w:t>
      </w:r>
    </w:p>
    <w:p w14:paraId="5EB39B78">
      <w:pPr>
        <w:keepNext/>
        <w:keepLines/>
        <w:pageBreakBefore w:val="0"/>
        <w:widowControl/>
        <w:kinsoku/>
        <w:wordWrap/>
        <w:overflowPunct/>
        <w:topLinePunct w:val="0"/>
        <w:autoSpaceDE/>
        <w:autoSpaceDN/>
        <w:bidi w:val="0"/>
        <w:adjustRightInd w:val="0"/>
        <w:snapToGrid/>
        <w:spacing w:before="10" w:after="10" w:line="360" w:lineRule="auto"/>
        <w:ind w:left="0" w:leftChars="0" w:firstLine="643" w:firstLineChars="200"/>
        <w:jc w:val="left"/>
        <w:textAlignment w:val="auto"/>
        <w:outlineLvl w:val="2"/>
        <w:rPr>
          <w:rFonts w:hint="eastAsia" w:ascii="仿宋" w:hAnsi="仿宋" w:eastAsia="仿宋" w:cs="仿宋"/>
          <w:b w:val="0"/>
          <w:bCs w:val="0"/>
          <w:kern w:val="2"/>
          <w:sz w:val="32"/>
          <w:szCs w:val="32"/>
          <w:lang w:val="en-US" w:eastAsia="zh-CN" w:bidi="ar-SA"/>
        </w:rPr>
      </w:pPr>
      <w:bookmarkStart w:id="19" w:name="_Toc19180"/>
      <w:bookmarkStart w:id="20" w:name="_Toc4840_WPSOffice_Level3"/>
      <w:bookmarkStart w:id="21" w:name="_Toc27740"/>
      <w:bookmarkStart w:id="22" w:name="_Toc26096_WPSOffice_Level3"/>
      <w:bookmarkStart w:id="23" w:name="_Toc17313"/>
      <w:r>
        <w:rPr>
          <w:rFonts w:hint="eastAsia" w:ascii="仿宋" w:hAnsi="仿宋" w:eastAsia="仿宋" w:cs="仿宋"/>
          <w:b/>
          <w:bCs/>
          <w:kern w:val="2"/>
          <w:sz w:val="32"/>
          <w:szCs w:val="32"/>
          <w:lang w:val="en-US" w:eastAsia="zh-CN" w:bidi="ar-SA"/>
        </w:rPr>
        <w:t>1.参与主体</w:t>
      </w:r>
      <w:bookmarkEnd w:id="19"/>
      <w:bookmarkEnd w:id="20"/>
      <w:bookmarkEnd w:id="21"/>
      <w:bookmarkEnd w:id="22"/>
      <w:bookmarkEnd w:id="23"/>
    </w:p>
    <w:p w14:paraId="7DC15C68">
      <w:pPr>
        <w:keepNext w:val="0"/>
        <w:keepLines w:val="0"/>
        <w:pageBreakBefore w:val="0"/>
        <w:widowControl/>
        <w:numPr>
          <w:ilvl w:val="0"/>
          <w:numId w:val="0"/>
        </w:numPr>
        <w:kinsoku/>
        <w:wordWrap/>
        <w:overflowPunct/>
        <w:topLinePunct w:val="0"/>
        <w:autoSpaceDE/>
        <w:autoSpaceDN/>
        <w:bidi w:val="0"/>
        <w:adjustRightInd w:val="0"/>
        <w:snapToGrid/>
        <w:spacing w:before="0" w:beforeLines="0" w:after="0" w:afterLines="0" w:line="360" w:lineRule="auto"/>
        <w:ind w:firstLine="641"/>
        <w:jc w:val="left"/>
        <w:textAlignment w:val="auto"/>
        <w:rPr>
          <w:rFonts w:hint="eastAsia" w:ascii="仿宋" w:hAnsi="仿宋" w:eastAsia="仿宋" w:cs="仿宋"/>
          <w:b w:val="0"/>
          <w:kern w:val="0"/>
          <w:sz w:val="32"/>
          <w:szCs w:val="32"/>
          <w:lang w:val="en-US" w:eastAsia="zh-CN" w:bidi="ar-SA"/>
        </w:rPr>
      </w:pPr>
      <w:bookmarkStart w:id="24" w:name="_Toc1266"/>
      <w:bookmarkStart w:id="25" w:name="_Toc19519"/>
      <w:r>
        <w:rPr>
          <w:rFonts w:hint="eastAsia" w:ascii="仿宋" w:hAnsi="仿宋" w:eastAsia="仿宋" w:cs="仿宋"/>
          <w:b w:val="0"/>
          <w:kern w:val="0"/>
          <w:sz w:val="32"/>
          <w:szCs w:val="32"/>
          <w:lang w:val="en-US" w:eastAsia="zh-CN" w:bidi="ar-SA"/>
        </w:rPr>
        <w:t>实施机构：泸州市住房和城乡建设局</w:t>
      </w:r>
      <w:bookmarkEnd w:id="24"/>
    </w:p>
    <w:p w14:paraId="643C4E7F">
      <w:pPr>
        <w:keepNext w:val="0"/>
        <w:keepLines w:val="0"/>
        <w:pageBreakBefore w:val="0"/>
        <w:widowControl/>
        <w:numPr>
          <w:ilvl w:val="0"/>
          <w:numId w:val="0"/>
        </w:numPr>
        <w:kinsoku/>
        <w:wordWrap/>
        <w:overflowPunct/>
        <w:topLinePunct w:val="0"/>
        <w:autoSpaceDE/>
        <w:autoSpaceDN/>
        <w:bidi w:val="0"/>
        <w:adjustRightInd w:val="0"/>
        <w:snapToGrid/>
        <w:spacing w:before="0" w:beforeLines="0" w:after="0" w:afterLines="0" w:line="360" w:lineRule="auto"/>
        <w:ind w:firstLine="641"/>
        <w:jc w:val="left"/>
        <w:textAlignment w:val="auto"/>
        <w:rPr>
          <w:rFonts w:hint="eastAsia" w:ascii="仿宋" w:hAnsi="仿宋" w:eastAsia="仿宋" w:cs="仿宋"/>
          <w:b w:val="0"/>
          <w:kern w:val="0"/>
          <w:sz w:val="32"/>
          <w:szCs w:val="32"/>
          <w:lang w:val="en-US" w:eastAsia="zh-CN" w:bidi="ar-SA"/>
        </w:rPr>
      </w:pPr>
      <w:bookmarkStart w:id="26" w:name="_Toc2652"/>
      <w:r>
        <w:rPr>
          <w:rFonts w:hint="eastAsia" w:ascii="仿宋" w:hAnsi="仿宋" w:eastAsia="仿宋" w:cs="仿宋"/>
          <w:b w:val="0"/>
          <w:kern w:val="0"/>
          <w:sz w:val="32"/>
          <w:szCs w:val="32"/>
          <w:lang w:val="en-US" w:eastAsia="zh-CN" w:bidi="ar-SA"/>
        </w:rPr>
        <w:t>项目业主：</w:t>
      </w:r>
      <w:bookmarkEnd w:id="26"/>
      <w:r>
        <w:rPr>
          <w:rFonts w:hint="eastAsia" w:ascii="仿宋" w:hAnsi="仿宋" w:eastAsia="仿宋" w:cs="仿宋"/>
          <w:b w:val="0"/>
          <w:kern w:val="0"/>
          <w:sz w:val="32"/>
          <w:szCs w:val="32"/>
          <w:lang w:val="en-US" w:eastAsia="zh-CN" w:bidi="ar-SA"/>
        </w:rPr>
        <w:t>泸州市政府投资建设工程管理第一中心</w:t>
      </w:r>
    </w:p>
    <w:p w14:paraId="473D5812">
      <w:pPr>
        <w:keepNext/>
        <w:keepLines/>
        <w:pageBreakBefore w:val="0"/>
        <w:widowControl/>
        <w:kinsoku/>
        <w:wordWrap/>
        <w:overflowPunct/>
        <w:topLinePunct w:val="0"/>
        <w:autoSpaceDE/>
        <w:autoSpaceDN/>
        <w:bidi w:val="0"/>
        <w:adjustRightInd w:val="0"/>
        <w:snapToGrid/>
        <w:spacing w:before="10" w:after="10" w:line="360" w:lineRule="auto"/>
        <w:ind w:left="0" w:leftChars="0" w:firstLine="643" w:firstLineChars="200"/>
        <w:jc w:val="left"/>
        <w:textAlignment w:val="auto"/>
        <w:outlineLvl w:val="2"/>
        <w:rPr>
          <w:rFonts w:hint="eastAsia" w:ascii="仿宋" w:hAnsi="仿宋" w:eastAsia="仿宋" w:cs="仿宋"/>
          <w:b w:val="0"/>
          <w:bCs w:val="0"/>
          <w:kern w:val="2"/>
          <w:sz w:val="32"/>
          <w:szCs w:val="32"/>
          <w:lang w:val="en-US" w:eastAsia="zh-CN" w:bidi="ar-SA"/>
        </w:rPr>
      </w:pPr>
      <w:bookmarkStart w:id="27" w:name="_Toc9056_WPSOffice_Level3"/>
      <w:bookmarkStart w:id="28" w:name="_Toc23709"/>
      <w:bookmarkStart w:id="29" w:name="_Toc19596_WPSOffice_Level3"/>
      <w:bookmarkStart w:id="30" w:name="_Toc8426"/>
      <w:r>
        <w:rPr>
          <w:rFonts w:hint="eastAsia" w:ascii="仿宋" w:hAnsi="仿宋" w:eastAsia="仿宋" w:cs="仿宋"/>
          <w:b/>
          <w:bCs/>
          <w:kern w:val="2"/>
          <w:sz w:val="32"/>
          <w:szCs w:val="32"/>
          <w:lang w:val="en-US" w:eastAsia="zh-CN" w:bidi="ar-SA"/>
        </w:rPr>
        <w:t>2.产出说明</w:t>
      </w:r>
      <w:bookmarkEnd w:id="25"/>
      <w:bookmarkEnd w:id="27"/>
      <w:bookmarkEnd w:id="28"/>
      <w:bookmarkEnd w:id="29"/>
      <w:bookmarkEnd w:id="30"/>
    </w:p>
    <w:p w14:paraId="0B1DA724">
      <w:pPr>
        <w:keepNext w:val="0"/>
        <w:keepLines w:val="0"/>
        <w:pageBreakBefore w:val="0"/>
        <w:widowControl w:val="0"/>
        <w:kinsoku/>
        <w:wordWrap/>
        <w:overflowPunct/>
        <w:topLinePunct w:val="0"/>
        <w:autoSpaceDE/>
        <w:autoSpaceDN/>
        <w:bidi w:val="0"/>
        <w:adjustRightInd/>
        <w:snapToGrid/>
        <w:spacing w:line="360" w:lineRule="auto"/>
        <w:ind w:firstLine="643" w:firstLineChars="200"/>
        <w:textAlignment w:val="auto"/>
        <w:rPr>
          <w:rFonts w:hint="eastAsia" w:ascii="仿宋" w:hAnsi="仿宋" w:eastAsia="仿宋" w:cs="仿宋"/>
          <w:b/>
          <w:bCs/>
          <w:sz w:val="32"/>
          <w:szCs w:val="32"/>
          <w:lang w:val="en-US" w:eastAsia="zh-CN"/>
        </w:rPr>
      </w:pPr>
      <w:r>
        <w:rPr>
          <w:rFonts w:hint="eastAsia" w:ascii="仿宋" w:hAnsi="仿宋" w:eastAsia="仿宋" w:cs="仿宋"/>
          <w:b/>
          <w:bCs/>
          <w:sz w:val="32"/>
          <w:szCs w:val="32"/>
          <w:lang w:val="en-US" w:eastAsia="zh-CN"/>
        </w:rPr>
        <w:t>项目建设工期：</w:t>
      </w:r>
    </w:p>
    <w:p w14:paraId="7E88C157">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default" w:ascii="仿宋" w:hAnsi="仿宋" w:eastAsia="仿宋" w:cs="仿宋"/>
          <w:b/>
          <w:bCs/>
          <w:sz w:val="32"/>
          <w:szCs w:val="32"/>
          <w:lang w:val="en-US" w:eastAsia="zh-CN"/>
        </w:rPr>
      </w:pPr>
      <w:r>
        <w:rPr>
          <w:rFonts w:hint="eastAsia" w:ascii="仿宋" w:hAnsi="仿宋" w:eastAsia="仿宋" w:cs="仿宋"/>
          <w:b w:val="0"/>
          <w:bCs w:val="0"/>
          <w:sz w:val="32"/>
          <w:szCs w:val="32"/>
          <w:lang w:val="en-US" w:eastAsia="zh-CN"/>
        </w:rPr>
        <w:t>项目总建设周期36个月。</w:t>
      </w:r>
    </w:p>
    <w:p w14:paraId="4416D922">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val="0"/>
          <w:sz w:val="32"/>
          <w:szCs w:val="32"/>
          <w:lang w:val="en-US" w:eastAsia="zh-CN"/>
        </w:rPr>
      </w:pPr>
      <w:r>
        <w:rPr>
          <w:rFonts w:hint="eastAsia" w:ascii="仿宋" w:hAnsi="仿宋" w:eastAsia="仿宋" w:cs="仿宋"/>
          <w:b w:val="0"/>
          <w:sz w:val="32"/>
          <w:szCs w:val="32"/>
          <w:lang w:val="en-US" w:eastAsia="zh-CN"/>
        </w:rPr>
        <w:t>2025年4月—2028年3月，共计36个月</w:t>
      </w:r>
    </w:p>
    <w:p w14:paraId="19BF2412">
      <w:pPr>
        <w:keepNext w:val="0"/>
        <w:keepLines w:val="0"/>
        <w:pageBreakBefore w:val="0"/>
        <w:widowControl w:val="0"/>
        <w:kinsoku/>
        <w:wordWrap/>
        <w:overflowPunct/>
        <w:topLinePunct w:val="0"/>
        <w:autoSpaceDE/>
        <w:autoSpaceDN/>
        <w:bidi w:val="0"/>
        <w:adjustRightInd/>
        <w:snapToGrid/>
        <w:spacing w:line="360" w:lineRule="auto"/>
        <w:ind w:firstLine="643" w:firstLineChars="200"/>
        <w:textAlignment w:val="auto"/>
        <w:rPr>
          <w:rFonts w:hint="default" w:ascii="仿宋" w:hAnsi="仿宋" w:eastAsia="仿宋" w:cs="仿宋"/>
          <w:sz w:val="32"/>
          <w:szCs w:val="32"/>
          <w:lang w:val="en-US" w:eastAsia="zh-CN"/>
        </w:rPr>
      </w:pPr>
      <w:r>
        <w:rPr>
          <w:rFonts w:hint="eastAsia" w:ascii="仿宋" w:hAnsi="仿宋" w:eastAsia="仿宋" w:cs="仿宋"/>
          <w:b/>
          <w:bCs/>
          <w:sz w:val="32"/>
          <w:szCs w:val="32"/>
          <w:lang w:val="en-US" w:eastAsia="zh-CN"/>
        </w:rPr>
        <w:t>项目区位：</w:t>
      </w:r>
      <w:r>
        <w:rPr>
          <w:rFonts w:hint="eastAsia" w:ascii="仿宋" w:hAnsi="仿宋" w:eastAsia="仿宋" w:cs="仿宋"/>
          <w:b w:val="0"/>
          <w:sz w:val="32"/>
          <w:szCs w:val="32"/>
          <w:lang w:val="en-US" w:eastAsia="zh-CN"/>
        </w:rPr>
        <w:t>泸州市蓝田街道</w:t>
      </w:r>
    </w:p>
    <w:p w14:paraId="2782CA44">
      <w:pPr>
        <w:keepNext w:val="0"/>
        <w:keepLines w:val="0"/>
        <w:pageBreakBefore w:val="0"/>
        <w:widowControl w:val="0"/>
        <w:kinsoku/>
        <w:wordWrap/>
        <w:overflowPunct/>
        <w:topLinePunct w:val="0"/>
        <w:autoSpaceDE/>
        <w:autoSpaceDN/>
        <w:bidi w:val="0"/>
        <w:adjustRightInd/>
        <w:snapToGrid/>
        <w:spacing w:line="360" w:lineRule="auto"/>
        <w:ind w:firstLine="643" w:firstLineChars="200"/>
        <w:textAlignment w:val="auto"/>
        <w:rPr>
          <w:rFonts w:hint="eastAsia" w:ascii="仿宋" w:hAnsi="仿宋" w:eastAsia="仿宋" w:cs="仿宋"/>
          <w:sz w:val="32"/>
          <w:szCs w:val="32"/>
          <w:lang w:val="en-US" w:eastAsia="zh-CN"/>
        </w:rPr>
      </w:pPr>
      <w:r>
        <w:rPr>
          <w:rFonts w:hint="eastAsia" w:ascii="仿宋" w:hAnsi="仿宋" w:eastAsia="仿宋" w:cs="仿宋"/>
          <w:b/>
          <w:bCs/>
          <w:sz w:val="32"/>
          <w:szCs w:val="32"/>
          <w:lang w:val="en-US" w:eastAsia="zh-CN"/>
        </w:rPr>
        <w:t>项目说明：</w:t>
      </w:r>
      <w:r>
        <w:rPr>
          <w:rFonts w:hint="eastAsia" w:ascii="仿宋" w:hAnsi="仿宋" w:eastAsia="仿宋" w:cs="仿宋"/>
          <w:sz w:val="32"/>
          <w:szCs w:val="32"/>
          <w:highlight w:val="none"/>
          <w:lang w:val="en-US" w:eastAsia="zh-CN"/>
        </w:rPr>
        <w:t>本项目为改建工程，资</w:t>
      </w:r>
      <w:r>
        <w:rPr>
          <w:rFonts w:hint="eastAsia" w:ascii="仿宋" w:hAnsi="仿宋" w:eastAsia="仿宋" w:cs="仿宋"/>
          <w:sz w:val="32"/>
          <w:szCs w:val="32"/>
          <w:lang w:val="en-US" w:eastAsia="zh-CN"/>
        </w:rPr>
        <w:t>产无抵押或质押情况。</w:t>
      </w:r>
    </w:p>
    <w:p w14:paraId="2724F537">
      <w:pPr>
        <w:keepNext w:val="0"/>
        <w:keepLines w:val="0"/>
        <w:pageBreakBefore w:val="0"/>
        <w:widowControl/>
        <w:kinsoku/>
        <w:wordWrap/>
        <w:overflowPunct/>
        <w:topLinePunct w:val="0"/>
        <w:autoSpaceDE/>
        <w:autoSpaceDN/>
        <w:bidi w:val="0"/>
        <w:adjustRightInd w:val="0"/>
        <w:snapToGrid w:val="0"/>
        <w:spacing w:line="360" w:lineRule="auto"/>
        <w:ind w:firstLine="643" w:firstLineChars="200"/>
        <w:jc w:val="both"/>
        <w:textAlignment w:val="auto"/>
        <w:rPr>
          <w:rFonts w:hint="eastAsia" w:ascii="仿宋" w:hAnsi="仿宋" w:eastAsia="仿宋" w:cs="仿宋"/>
          <w:b w:val="0"/>
          <w:bCs w:val="0"/>
          <w:kern w:val="0"/>
          <w:sz w:val="32"/>
          <w:szCs w:val="32"/>
          <w:lang w:val="en-US" w:eastAsia="zh-CN" w:bidi="ar-SA"/>
        </w:rPr>
      </w:pPr>
      <w:r>
        <w:rPr>
          <w:rFonts w:hint="eastAsia" w:ascii="仿宋" w:hAnsi="仿宋" w:eastAsia="仿宋" w:cs="仿宋"/>
          <w:b/>
          <w:bCs/>
          <w:kern w:val="0"/>
          <w:sz w:val="32"/>
          <w:szCs w:val="32"/>
          <w:lang w:val="en-US" w:eastAsia="zh-CN" w:bidi="ar-SA"/>
        </w:rPr>
        <w:t>主要建设内容:</w:t>
      </w:r>
      <w:r>
        <w:rPr>
          <w:rFonts w:hint="eastAsia" w:ascii="仿宋" w:hAnsi="仿宋" w:eastAsia="仿宋" w:cs="仿宋"/>
          <w:b w:val="0"/>
          <w:bCs w:val="0"/>
          <w:kern w:val="0"/>
          <w:sz w:val="32"/>
          <w:szCs w:val="32"/>
          <w:lang w:val="en-US" w:eastAsia="zh-CN" w:bidi="ar-SA"/>
        </w:rPr>
        <w:t>1、对泸州市蓝田街道区域内老旧小区及周边公共配套设施进行改造更新,包含改造区域内道路 5km 以及游园改造、养老服务中心、托育中心、居民停车场、新能源停车位、小区公共部位改造等配套基础设施改造更新。</w:t>
      </w:r>
    </w:p>
    <w:p w14:paraId="146EF8AA">
      <w:pPr>
        <w:keepNext w:val="0"/>
        <w:keepLines w:val="0"/>
        <w:pageBreakBefore w:val="0"/>
        <w:widowControl/>
        <w:kinsoku/>
        <w:wordWrap/>
        <w:overflowPunct/>
        <w:topLinePunct w:val="0"/>
        <w:autoSpaceDE/>
        <w:autoSpaceDN/>
        <w:bidi w:val="0"/>
        <w:adjustRightInd w:val="0"/>
        <w:snapToGrid w:val="0"/>
        <w:spacing w:line="360" w:lineRule="auto"/>
        <w:ind w:firstLine="640" w:firstLineChars="200"/>
        <w:jc w:val="both"/>
        <w:textAlignment w:val="auto"/>
        <w:rPr>
          <w:rFonts w:hint="default" w:ascii="华文楷体" w:hAnsi="华文楷体" w:eastAsia="LF_Kai" w:cs="Times New Roman"/>
          <w:b w:val="0"/>
          <w:bCs w:val="0"/>
          <w:kern w:val="0"/>
          <w:sz w:val="28"/>
          <w:szCs w:val="20"/>
          <w:lang w:val="en-US" w:eastAsia="zh-CN" w:bidi="ar-SA"/>
        </w:rPr>
      </w:pPr>
      <w:r>
        <w:rPr>
          <w:rFonts w:hint="eastAsia" w:ascii="仿宋" w:hAnsi="仿宋" w:eastAsia="仿宋" w:cs="仿宋"/>
          <w:b w:val="0"/>
          <w:bCs w:val="0"/>
          <w:kern w:val="0"/>
          <w:sz w:val="32"/>
          <w:szCs w:val="32"/>
          <w:lang w:val="en-US" w:eastAsia="zh-CN" w:bidi="ar-SA"/>
        </w:rPr>
        <w:t>2、对泸州市城南片区区域内排水管网进行探测修复城市，解决区域内雨污水混流、易涝积水点、管网破损等问题，包含约 8 平方千米区域内道路、小区管网改造及雨污分流建设等配套基础设施更新改造等。</w:t>
      </w:r>
    </w:p>
    <w:p w14:paraId="160F070B">
      <w:pPr>
        <w:keepNext w:val="0"/>
        <w:keepLines w:val="0"/>
        <w:pageBreakBefore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b/>
          <w:bCs/>
          <w:i w:val="0"/>
          <w:color w:val="000000"/>
          <w:kern w:val="0"/>
          <w:sz w:val="28"/>
          <w:szCs w:val="28"/>
          <w:highlight w:val="yellow"/>
          <w:u w:val="none"/>
          <w:lang w:val="en-US" w:eastAsia="zh-CN" w:bidi="ar"/>
        </w:rPr>
      </w:pPr>
      <w:r>
        <w:rPr>
          <w:rFonts w:hint="eastAsia" w:ascii="仿宋" w:hAnsi="仿宋" w:eastAsia="仿宋" w:cs="仿宋"/>
          <w:color w:val="auto"/>
          <w:sz w:val="32"/>
          <w:szCs w:val="32"/>
          <w:highlight w:val="none"/>
          <w:lang w:val="en-US" w:eastAsia="zh-CN"/>
        </w:rPr>
        <w:t>详细建设内容见下表1-1，主要经济技术指标表：</w:t>
      </w:r>
    </w:p>
    <w:p w14:paraId="11F6534B">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仿宋" w:hAnsi="仿宋" w:eastAsia="仿宋" w:cs="仿宋"/>
          <w:b/>
          <w:bCs/>
          <w:i w:val="0"/>
          <w:color w:val="000000"/>
          <w:kern w:val="0"/>
          <w:sz w:val="21"/>
          <w:szCs w:val="21"/>
          <w:highlight w:val="none"/>
          <w:u w:val="none"/>
          <w:lang w:val="en-US" w:eastAsia="zh-CN" w:bidi="ar"/>
        </w:rPr>
      </w:pPr>
      <w:r>
        <w:rPr>
          <w:rFonts w:hint="eastAsia" w:ascii="仿宋" w:hAnsi="仿宋" w:eastAsia="仿宋" w:cs="仿宋"/>
          <w:b/>
          <w:bCs/>
          <w:i w:val="0"/>
          <w:color w:val="000000"/>
          <w:kern w:val="0"/>
          <w:sz w:val="21"/>
          <w:szCs w:val="21"/>
          <w:highlight w:val="none"/>
          <w:u w:val="none"/>
          <w:lang w:val="en-US" w:eastAsia="zh-CN" w:bidi="ar"/>
        </w:rPr>
        <w:t>表1-1项目主要技术经济指标表</w:t>
      </w:r>
    </w:p>
    <w:p w14:paraId="5C58252C">
      <w:pPr>
        <w:pageBreakBefore w:val="0"/>
        <w:widowControl w:val="0"/>
        <w:wordWrap/>
        <w:topLinePunct w:val="0"/>
        <w:autoSpaceDE/>
        <w:autoSpaceDN/>
        <w:bidi w:val="0"/>
        <w:spacing w:line="360" w:lineRule="auto"/>
        <w:ind w:firstLine="420"/>
        <w:jc w:val="both"/>
        <w:textAlignment w:val="auto"/>
        <w:rPr>
          <w:rFonts w:hint="eastAsia" w:ascii="Calibri" w:hAnsi="Calibri" w:eastAsia="宋体" w:cs="Times New Roman"/>
          <w:kern w:val="2"/>
          <w:sz w:val="21"/>
          <w:szCs w:val="24"/>
          <w:lang w:val="en-US" w:eastAsia="zh-CN" w:bidi="ar-SA"/>
        </w:rPr>
      </w:pPr>
      <w:r>
        <w:rPr>
          <w:rFonts w:ascii="Calibri" w:hAnsi="Calibri" w:eastAsia="宋体" w:cs="Times New Roman"/>
          <w:kern w:val="2"/>
          <w:sz w:val="21"/>
          <w:szCs w:val="24"/>
          <w:lang w:val="en-US" w:eastAsia="zh-CN" w:bidi="ar-SA"/>
        </w:rPr>
        <w:drawing>
          <wp:anchor distT="0" distB="0" distL="114300" distR="114300" simplePos="0" relativeHeight="251659264" behindDoc="1" locked="0" layoutInCell="1" allowOverlap="1">
            <wp:simplePos x="0" y="0"/>
            <wp:positionH relativeFrom="column">
              <wp:posOffset>487680</wp:posOffset>
            </wp:positionH>
            <wp:positionV relativeFrom="paragraph">
              <wp:posOffset>68580</wp:posOffset>
            </wp:positionV>
            <wp:extent cx="4617720" cy="4709160"/>
            <wp:effectExtent l="0" t="0" r="5080" b="2540"/>
            <wp:wrapTight wrapText="bothSides">
              <wp:wrapPolygon>
                <wp:start x="0" y="0"/>
                <wp:lineTo x="0" y="21553"/>
                <wp:lineTo x="21564" y="21553"/>
                <wp:lineTo x="21564" y="0"/>
                <wp:lineTo x="0" y="0"/>
              </wp:wrapPolygon>
            </wp:wrapTight>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0"/>
                    <a:stretch>
                      <a:fillRect/>
                    </a:stretch>
                  </pic:blipFill>
                  <pic:spPr>
                    <a:xfrm>
                      <a:off x="0" y="0"/>
                      <a:ext cx="4617720" cy="4709160"/>
                    </a:xfrm>
                    <a:prstGeom prst="rect">
                      <a:avLst/>
                    </a:prstGeom>
                    <a:noFill/>
                    <a:ln>
                      <a:noFill/>
                    </a:ln>
                  </pic:spPr>
                </pic:pic>
              </a:graphicData>
            </a:graphic>
          </wp:anchor>
        </w:drawing>
      </w:r>
    </w:p>
    <w:p w14:paraId="305FEA82">
      <w:pPr>
        <w:keepNext/>
        <w:keepLines/>
        <w:pageBreakBefore w:val="0"/>
        <w:widowControl w:val="0"/>
        <w:numPr>
          <w:ilvl w:val="2"/>
          <w:numId w:val="0"/>
        </w:numPr>
        <w:tabs>
          <w:tab w:val="left" w:pos="0"/>
        </w:tabs>
        <w:kinsoku/>
        <w:wordWrap/>
        <w:overflowPunct/>
        <w:topLinePunct w:val="0"/>
        <w:autoSpaceDE/>
        <w:autoSpaceDN/>
        <w:bidi w:val="0"/>
        <w:adjustRightInd/>
        <w:snapToGrid/>
        <w:spacing w:before="0" w:beforeLines="0" w:after="0" w:afterLines="0" w:line="360" w:lineRule="auto"/>
        <w:ind w:firstLine="643" w:firstLineChars="200"/>
        <w:jc w:val="both"/>
        <w:textAlignment w:val="auto"/>
        <w:outlineLvl w:val="2"/>
        <w:rPr>
          <w:rFonts w:hint="eastAsia" w:ascii="仿宋" w:hAnsi="仿宋" w:eastAsia="仿宋" w:cs="仿宋"/>
          <w:b/>
          <w:bCs/>
          <w:kern w:val="2"/>
          <w:sz w:val="32"/>
          <w:szCs w:val="28"/>
          <w:lang w:val="en-US" w:eastAsia="zh-CN" w:bidi="ar-SA"/>
        </w:rPr>
      </w:pPr>
      <w:bookmarkStart w:id="31" w:name="_Toc12430_WPSOffice_Level3"/>
      <w:bookmarkStart w:id="32" w:name="_Toc12629"/>
      <w:bookmarkStart w:id="33" w:name="_Toc11946"/>
      <w:bookmarkStart w:id="34" w:name="_Toc29595_WPSOffice_Level3"/>
      <w:bookmarkStart w:id="35" w:name="_Toc3134"/>
      <w:r>
        <w:rPr>
          <w:rFonts w:ascii="Calibri" w:hAnsi="Calibri" w:eastAsia="宋体" w:cs="Times New Roman"/>
          <w:b/>
          <w:bCs/>
          <w:kern w:val="2"/>
          <w:sz w:val="32"/>
          <w:szCs w:val="32"/>
          <w:lang w:val="en-US" w:eastAsia="zh-CN" w:bidi="ar-SA"/>
        </w:rPr>
        <w:drawing>
          <wp:anchor distT="0" distB="0" distL="114300" distR="114300" simplePos="0" relativeHeight="251660288" behindDoc="1" locked="0" layoutInCell="1" allowOverlap="1">
            <wp:simplePos x="0" y="0"/>
            <wp:positionH relativeFrom="column">
              <wp:posOffset>436880</wp:posOffset>
            </wp:positionH>
            <wp:positionV relativeFrom="page">
              <wp:posOffset>883920</wp:posOffset>
            </wp:positionV>
            <wp:extent cx="4654550" cy="4678680"/>
            <wp:effectExtent l="0" t="0" r="6350" b="7620"/>
            <wp:wrapTight wrapText="bothSides">
              <wp:wrapPolygon>
                <wp:start x="0" y="0"/>
                <wp:lineTo x="0" y="21518"/>
                <wp:lineTo x="21571" y="21518"/>
                <wp:lineTo x="21571" y="0"/>
                <wp:lineTo x="0" y="0"/>
              </wp:wrapPolygon>
            </wp:wrapTight>
            <wp:docPr id="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pic:cNvPicPr>
                      <a:picLocks noChangeAspect="1"/>
                    </pic:cNvPicPr>
                  </pic:nvPicPr>
                  <pic:blipFill>
                    <a:blip r:embed="rId11"/>
                    <a:stretch>
                      <a:fillRect/>
                    </a:stretch>
                  </pic:blipFill>
                  <pic:spPr>
                    <a:xfrm>
                      <a:off x="0" y="0"/>
                      <a:ext cx="4654550" cy="4678680"/>
                    </a:xfrm>
                    <a:prstGeom prst="rect">
                      <a:avLst/>
                    </a:prstGeom>
                    <a:noFill/>
                    <a:ln>
                      <a:noFill/>
                    </a:ln>
                  </pic:spPr>
                </pic:pic>
              </a:graphicData>
            </a:graphic>
          </wp:anchor>
        </w:drawing>
      </w:r>
    </w:p>
    <w:p w14:paraId="28E71D81">
      <w:pPr>
        <w:keepNext/>
        <w:keepLines/>
        <w:pageBreakBefore w:val="0"/>
        <w:widowControl w:val="0"/>
        <w:numPr>
          <w:ilvl w:val="2"/>
          <w:numId w:val="0"/>
        </w:numPr>
        <w:tabs>
          <w:tab w:val="left" w:pos="0"/>
        </w:tabs>
        <w:kinsoku/>
        <w:wordWrap/>
        <w:overflowPunct/>
        <w:topLinePunct w:val="0"/>
        <w:autoSpaceDE/>
        <w:autoSpaceDN/>
        <w:bidi w:val="0"/>
        <w:adjustRightInd/>
        <w:snapToGrid/>
        <w:spacing w:before="0" w:beforeLines="0" w:after="0" w:afterLines="0" w:line="360" w:lineRule="auto"/>
        <w:ind w:firstLine="643" w:firstLineChars="200"/>
        <w:jc w:val="both"/>
        <w:textAlignment w:val="auto"/>
        <w:outlineLvl w:val="2"/>
        <w:rPr>
          <w:rFonts w:hint="eastAsia" w:ascii="仿宋" w:hAnsi="仿宋" w:eastAsia="仿宋" w:cs="仿宋"/>
          <w:b/>
          <w:bCs/>
          <w:kern w:val="2"/>
          <w:sz w:val="32"/>
          <w:szCs w:val="28"/>
          <w:lang w:val="en-US" w:eastAsia="zh-CN" w:bidi="ar-SA"/>
        </w:rPr>
      </w:pPr>
    </w:p>
    <w:p w14:paraId="79C8D8F9">
      <w:pPr>
        <w:keepNext/>
        <w:keepLines/>
        <w:pageBreakBefore w:val="0"/>
        <w:widowControl w:val="0"/>
        <w:numPr>
          <w:ilvl w:val="2"/>
          <w:numId w:val="0"/>
        </w:numPr>
        <w:tabs>
          <w:tab w:val="left" w:pos="0"/>
        </w:tabs>
        <w:kinsoku/>
        <w:wordWrap/>
        <w:overflowPunct/>
        <w:topLinePunct w:val="0"/>
        <w:autoSpaceDE/>
        <w:autoSpaceDN/>
        <w:bidi w:val="0"/>
        <w:adjustRightInd/>
        <w:snapToGrid/>
        <w:spacing w:before="0" w:beforeLines="0" w:after="0" w:afterLines="0" w:line="360" w:lineRule="auto"/>
        <w:ind w:firstLine="643" w:firstLineChars="200"/>
        <w:jc w:val="both"/>
        <w:textAlignment w:val="auto"/>
        <w:outlineLvl w:val="2"/>
        <w:rPr>
          <w:rFonts w:hint="eastAsia" w:ascii="仿宋" w:hAnsi="仿宋" w:eastAsia="仿宋" w:cs="仿宋"/>
          <w:b/>
          <w:bCs/>
          <w:kern w:val="2"/>
          <w:sz w:val="32"/>
          <w:szCs w:val="28"/>
          <w:lang w:val="en-US" w:eastAsia="zh-CN" w:bidi="ar-SA"/>
        </w:rPr>
      </w:pPr>
    </w:p>
    <w:p w14:paraId="33FEDA3D">
      <w:pPr>
        <w:keepNext/>
        <w:keepLines/>
        <w:pageBreakBefore w:val="0"/>
        <w:widowControl w:val="0"/>
        <w:numPr>
          <w:ilvl w:val="2"/>
          <w:numId w:val="0"/>
        </w:numPr>
        <w:tabs>
          <w:tab w:val="left" w:pos="0"/>
        </w:tabs>
        <w:kinsoku/>
        <w:wordWrap/>
        <w:overflowPunct/>
        <w:topLinePunct w:val="0"/>
        <w:autoSpaceDE/>
        <w:autoSpaceDN/>
        <w:bidi w:val="0"/>
        <w:adjustRightInd/>
        <w:snapToGrid/>
        <w:spacing w:before="0" w:beforeLines="0" w:after="0" w:afterLines="0" w:line="360" w:lineRule="auto"/>
        <w:ind w:firstLine="643" w:firstLineChars="200"/>
        <w:jc w:val="both"/>
        <w:textAlignment w:val="auto"/>
        <w:outlineLvl w:val="2"/>
        <w:rPr>
          <w:rFonts w:hint="eastAsia" w:ascii="仿宋" w:hAnsi="仿宋" w:eastAsia="仿宋" w:cs="仿宋"/>
          <w:b/>
          <w:bCs/>
          <w:kern w:val="2"/>
          <w:sz w:val="32"/>
          <w:szCs w:val="28"/>
          <w:lang w:val="en-US" w:eastAsia="zh-CN" w:bidi="ar-SA"/>
        </w:rPr>
      </w:pPr>
    </w:p>
    <w:p w14:paraId="5455E344">
      <w:pPr>
        <w:keepNext/>
        <w:keepLines/>
        <w:pageBreakBefore w:val="0"/>
        <w:widowControl w:val="0"/>
        <w:numPr>
          <w:ilvl w:val="2"/>
          <w:numId w:val="0"/>
        </w:numPr>
        <w:tabs>
          <w:tab w:val="left" w:pos="0"/>
        </w:tabs>
        <w:kinsoku/>
        <w:wordWrap/>
        <w:overflowPunct/>
        <w:topLinePunct w:val="0"/>
        <w:autoSpaceDE/>
        <w:autoSpaceDN/>
        <w:bidi w:val="0"/>
        <w:adjustRightInd/>
        <w:snapToGrid/>
        <w:spacing w:before="0" w:beforeLines="0" w:after="0" w:afterLines="0" w:line="360" w:lineRule="auto"/>
        <w:ind w:firstLine="643" w:firstLineChars="200"/>
        <w:jc w:val="both"/>
        <w:textAlignment w:val="auto"/>
        <w:outlineLvl w:val="2"/>
        <w:rPr>
          <w:rFonts w:hint="eastAsia" w:ascii="仿宋" w:hAnsi="仿宋" w:eastAsia="仿宋" w:cs="仿宋"/>
          <w:b/>
          <w:bCs/>
          <w:kern w:val="2"/>
          <w:sz w:val="32"/>
          <w:szCs w:val="28"/>
          <w:lang w:val="en-US" w:eastAsia="zh-CN" w:bidi="ar-SA"/>
        </w:rPr>
      </w:pPr>
    </w:p>
    <w:p w14:paraId="6E46A2D0">
      <w:pPr>
        <w:keepNext/>
        <w:keepLines/>
        <w:pageBreakBefore w:val="0"/>
        <w:widowControl w:val="0"/>
        <w:numPr>
          <w:ilvl w:val="2"/>
          <w:numId w:val="0"/>
        </w:numPr>
        <w:tabs>
          <w:tab w:val="left" w:pos="0"/>
        </w:tabs>
        <w:kinsoku/>
        <w:wordWrap/>
        <w:overflowPunct/>
        <w:topLinePunct w:val="0"/>
        <w:autoSpaceDE/>
        <w:autoSpaceDN/>
        <w:bidi w:val="0"/>
        <w:adjustRightInd/>
        <w:snapToGrid/>
        <w:spacing w:before="0" w:beforeLines="0" w:after="0" w:afterLines="0" w:line="360" w:lineRule="auto"/>
        <w:ind w:firstLine="643" w:firstLineChars="200"/>
        <w:jc w:val="both"/>
        <w:textAlignment w:val="auto"/>
        <w:outlineLvl w:val="2"/>
        <w:rPr>
          <w:rFonts w:hint="eastAsia" w:ascii="仿宋" w:hAnsi="仿宋" w:eastAsia="仿宋" w:cs="仿宋"/>
          <w:b/>
          <w:bCs/>
          <w:kern w:val="2"/>
          <w:sz w:val="32"/>
          <w:szCs w:val="28"/>
          <w:lang w:val="en-US" w:eastAsia="zh-CN" w:bidi="ar-SA"/>
        </w:rPr>
      </w:pPr>
    </w:p>
    <w:p w14:paraId="7F13CAA4">
      <w:pPr>
        <w:keepNext/>
        <w:keepLines/>
        <w:pageBreakBefore w:val="0"/>
        <w:widowControl w:val="0"/>
        <w:numPr>
          <w:ilvl w:val="2"/>
          <w:numId w:val="0"/>
        </w:numPr>
        <w:tabs>
          <w:tab w:val="left" w:pos="0"/>
        </w:tabs>
        <w:kinsoku/>
        <w:wordWrap/>
        <w:overflowPunct/>
        <w:topLinePunct w:val="0"/>
        <w:autoSpaceDE/>
        <w:autoSpaceDN/>
        <w:bidi w:val="0"/>
        <w:adjustRightInd/>
        <w:snapToGrid/>
        <w:spacing w:before="0" w:beforeLines="0" w:after="0" w:afterLines="0" w:line="360" w:lineRule="auto"/>
        <w:ind w:firstLine="643" w:firstLineChars="200"/>
        <w:jc w:val="both"/>
        <w:textAlignment w:val="auto"/>
        <w:outlineLvl w:val="2"/>
        <w:rPr>
          <w:rFonts w:hint="eastAsia" w:ascii="仿宋" w:hAnsi="仿宋" w:eastAsia="仿宋" w:cs="仿宋"/>
          <w:b/>
          <w:bCs/>
          <w:kern w:val="2"/>
          <w:sz w:val="32"/>
          <w:szCs w:val="28"/>
          <w:lang w:val="en-US" w:eastAsia="zh-CN" w:bidi="ar-SA"/>
        </w:rPr>
      </w:pPr>
    </w:p>
    <w:p w14:paraId="12F7447A">
      <w:pPr>
        <w:keepNext/>
        <w:keepLines/>
        <w:pageBreakBefore w:val="0"/>
        <w:widowControl w:val="0"/>
        <w:numPr>
          <w:ilvl w:val="2"/>
          <w:numId w:val="0"/>
        </w:numPr>
        <w:tabs>
          <w:tab w:val="left" w:pos="0"/>
        </w:tabs>
        <w:kinsoku/>
        <w:wordWrap/>
        <w:overflowPunct/>
        <w:topLinePunct w:val="0"/>
        <w:autoSpaceDE/>
        <w:autoSpaceDN/>
        <w:bidi w:val="0"/>
        <w:adjustRightInd/>
        <w:snapToGrid/>
        <w:spacing w:before="0" w:beforeLines="0" w:after="0" w:afterLines="0" w:line="360" w:lineRule="auto"/>
        <w:ind w:firstLine="643" w:firstLineChars="200"/>
        <w:jc w:val="both"/>
        <w:textAlignment w:val="auto"/>
        <w:outlineLvl w:val="2"/>
        <w:rPr>
          <w:rFonts w:hint="eastAsia" w:ascii="仿宋" w:hAnsi="仿宋" w:eastAsia="仿宋" w:cs="仿宋"/>
          <w:b/>
          <w:bCs/>
          <w:kern w:val="2"/>
          <w:sz w:val="32"/>
          <w:szCs w:val="28"/>
          <w:lang w:val="en-US" w:eastAsia="zh-CN" w:bidi="ar-SA"/>
        </w:rPr>
      </w:pPr>
    </w:p>
    <w:p w14:paraId="015AECB3">
      <w:pPr>
        <w:keepNext/>
        <w:keepLines/>
        <w:pageBreakBefore w:val="0"/>
        <w:widowControl w:val="0"/>
        <w:numPr>
          <w:ilvl w:val="2"/>
          <w:numId w:val="0"/>
        </w:numPr>
        <w:tabs>
          <w:tab w:val="left" w:pos="0"/>
        </w:tabs>
        <w:kinsoku/>
        <w:wordWrap/>
        <w:overflowPunct/>
        <w:topLinePunct w:val="0"/>
        <w:autoSpaceDE/>
        <w:autoSpaceDN/>
        <w:bidi w:val="0"/>
        <w:adjustRightInd/>
        <w:snapToGrid/>
        <w:spacing w:before="0" w:beforeLines="0" w:after="0" w:afterLines="0" w:line="360" w:lineRule="auto"/>
        <w:ind w:firstLine="643" w:firstLineChars="200"/>
        <w:jc w:val="both"/>
        <w:textAlignment w:val="auto"/>
        <w:outlineLvl w:val="2"/>
        <w:rPr>
          <w:rFonts w:hint="eastAsia" w:ascii="仿宋" w:hAnsi="仿宋" w:eastAsia="仿宋" w:cs="仿宋"/>
          <w:b/>
          <w:bCs/>
          <w:kern w:val="2"/>
          <w:sz w:val="32"/>
          <w:szCs w:val="28"/>
          <w:lang w:val="en-US" w:eastAsia="zh-CN" w:bidi="ar-SA"/>
        </w:rPr>
      </w:pPr>
    </w:p>
    <w:p w14:paraId="5A550B45">
      <w:pPr>
        <w:keepNext/>
        <w:keepLines/>
        <w:pageBreakBefore w:val="0"/>
        <w:widowControl w:val="0"/>
        <w:numPr>
          <w:ilvl w:val="2"/>
          <w:numId w:val="0"/>
        </w:numPr>
        <w:tabs>
          <w:tab w:val="left" w:pos="0"/>
        </w:tabs>
        <w:kinsoku/>
        <w:wordWrap/>
        <w:overflowPunct/>
        <w:topLinePunct w:val="0"/>
        <w:autoSpaceDE/>
        <w:autoSpaceDN/>
        <w:bidi w:val="0"/>
        <w:adjustRightInd/>
        <w:snapToGrid/>
        <w:spacing w:before="0" w:beforeLines="0" w:after="0" w:afterLines="0" w:line="360" w:lineRule="auto"/>
        <w:ind w:firstLine="643" w:firstLineChars="200"/>
        <w:jc w:val="both"/>
        <w:textAlignment w:val="auto"/>
        <w:outlineLvl w:val="2"/>
        <w:rPr>
          <w:rFonts w:hint="eastAsia" w:ascii="仿宋" w:hAnsi="仿宋" w:eastAsia="仿宋" w:cs="仿宋"/>
          <w:b/>
          <w:bCs/>
          <w:kern w:val="2"/>
          <w:sz w:val="32"/>
          <w:szCs w:val="28"/>
          <w:lang w:val="en-US" w:eastAsia="zh-CN" w:bidi="ar-SA"/>
        </w:rPr>
      </w:pPr>
    </w:p>
    <w:p w14:paraId="429198F5">
      <w:pPr>
        <w:keepNext/>
        <w:keepLines/>
        <w:pageBreakBefore w:val="0"/>
        <w:widowControl w:val="0"/>
        <w:numPr>
          <w:ilvl w:val="2"/>
          <w:numId w:val="0"/>
        </w:numPr>
        <w:tabs>
          <w:tab w:val="left" w:pos="0"/>
        </w:tabs>
        <w:kinsoku/>
        <w:wordWrap/>
        <w:overflowPunct/>
        <w:topLinePunct w:val="0"/>
        <w:autoSpaceDE/>
        <w:autoSpaceDN/>
        <w:bidi w:val="0"/>
        <w:adjustRightInd/>
        <w:snapToGrid/>
        <w:spacing w:before="0" w:beforeLines="0" w:after="0" w:afterLines="0" w:line="360" w:lineRule="auto"/>
        <w:ind w:firstLine="643" w:firstLineChars="200"/>
        <w:jc w:val="both"/>
        <w:textAlignment w:val="auto"/>
        <w:outlineLvl w:val="2"/>
        <w:rPr>
          <w:rFonts w:hint="eastAsia" w:ascii="仿宋" w:hAnsi="仿宋" w:eastAsia="仿宋" w:cs="仿宋"/>
          <w:b/>
          <w:bCs/>
          <w:kern w:val="2"/>
          <w:sz w:val="32"/>
          <w:szCs w:val="28"/>
          <w:highlight w:val="none"/>
          <w:lang w:val="en-US" w:eastAsia="zh-CN" w:bidi="ar-SA"/>
        </w:rPr>
      </w:pPr>
      <w:r>
        <w:rPr>
          <w:rFonts w:hint="eastAsia" w:ascii="仿宋" w:hAnsi="仿宋" w:eastAsia="仿宋" w:cs="仿宋"/>
          <w:b/>
          <w:bCs/>
          <w:kern w:val="2"/>
          <w:sz w:val="32"/>
          <w:szCs w:val="28"/>
          <w:highlight w:val="none"/>
          <w:lang w:val="en-US" w:eastAsia="zh-CN" w:bidi="ar-SA"/>
        </w:rPr>
        <w:t>3.建设方案</w:t>
      </w:r>
      <w:bookmarkEnd w:id="31"/>
      <w:bookmarkEnd w:id="32"/>
      <w:bookmarkEnd w:id="33"/>
      <w:bookmarkEnd w:id="34"/>
      <w:bookmarkEnd w:id="35"/>
    </w:p>
    <w:p w14:paraId="5F780D1B">
      <w:pPr>
        <w:keepNext w:val="0"/>
        <w:keepLines w:val="0"/>
        <w:pageBreakBefore w:val="0"/>
        <w:widowControl w:val="0"/>
        <w:kinsoku/>
        <w:wordWrap/>
        <w:overflowPunct/>
        <w:topLinePunct w:val="0"/>
        <w:autoSpaceDE/>
        <w:autoSpaceDN/>
        <w:bidi w:val="0"/>
        <w:adjustRightInd/>
        <w:snapToGrid/>
        <w:spacing w:line="360" w:lineRule="auto"/>
        <w:ind w:firstLine="643" w:firstLineChars="200"/>
        <w:jc w:val="both"/>
        <w:textAlignment w:val="auto"/>
        <w:rPr>
          <w:rFonts w:hint="eastAsia" w:ascii="仿宋" w:hAnsi="仿宋" w:eastAsia="仿宋" w:cs="仿宋"/>
          <w:b/>
          <w:bCs/>
          <w:kern w:val="0"/>
          <w:sz w:val="32"/>
          <w:szCs w:val="32"/>
          <w:lang w:val="en-US" w:eastAsia="zh-CN" w:bidi="ar-SA"/>
        </w:rPr>
      </w:pPr>
      <w:r>
        <w:rPr>
          <w:rFonts w:hint="eastAsia" w:ascii="仿宋" w:hAnsi="仿宋" w:eastAsia="仿宋" w:cs="仿宋"/>
          <w:b/>
          <w:bCs/>
          <w:kern w:val="0"/>
          <w:sz w:val="32"/>
          <w:szCs w:val="32"/>
          <w:lang w:val="en-US" w:eastAsia="zh-CN" w:bidi="ar-SA"/>
        </w:rPr>
        <w:t>（1）总体布置建设方案</w:t>
      </w:r>
    </w:p>
    <w:p w14:paraId="2D127D69">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both"/>
        <w:textAlignment w:val="auto"/>
        <w:rPr>
          <w:rFonts w:hint="eastAsia" w:ascii="仿宋" w:hAnsi="仿宋" w:eastAsia="仿宋" w:cs="仿宋"/>
          <w:b w:val="0"/>
          <w:bCs w:val="0"/>
          <w:kern w:val="0"/>
          <w:sz w:val="32"/>
          <w:szCs w:val="32"/>
          <w:lang w:val="en-US" w:eastAsia="zh-CN" w:bidi="ar-SA"/>
        </w:rPr>
      </w:pPr>
      <w:r>
        <w:rPr>
          <w:rFonts w:hint="eastAsia" w:ascii="仿宋" w:hAnsi="仿宋" w:eastAsia="仿宋" w:cs="仿宋"/>
          <w:b w:val="0"/>
          <w:bCs w:val="0"/>
          <w:kern w:val="0"/>
          <w:sz w:val="32"/>
          <w:szCs w:val="32"/>
          <w:lang w:val="en-US" w:eastAsia="zh-CN" w:bidi="ar-SA"/>
        </w:rPr>
        <w:t>1）满足安全、适用、经济、美观，有利美化城市空间，并与泸州城市规划发展相协调的原则。</w:t>
      </w:r>
    </w:p>
    <w:p w14:paraId="6D3FB3E2">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both"/>
        <w:textAlignment w:val="auto"/>
        <w:rPr>
          <w:rFonts w:hint="eastAsia" w:ascii="仿宋" w:hAnsi="仿宋" w:eastAsia="仿宋" w:cs="仿宋"/>
          <w:b w:val="0"/>
          <w:bCs w:val="0"/>
          <w:kern w:val="0"/>
          <w:sz w:val="32"/>
          <w:szCs w:val="32"/>
          <w:lang w:val="en-US" w:eastAsia="zh-CN" w:bidi="ar-SA"/>
        </w:rPr>
      </w:pPr>
      <w:r>
        <w:rPr>
          <w:rFonts w:hint="eastAsia" w:ascii="仿宋" w:hAnsi="仿宋" w:eastAsia="仿宋" w:cs="仿宋"/>
          <w:b w:val="0"/>
          <w:bCs w:val="0"/>
          <w:kern w:val="0"/>
          <w:sz w:val="32"/>
          <w:szCs w:val="32"/>
          <w:lang w:val="en-US" w:eastAsia="zh-CN" w:bidi="ar-SA"/>
        </w:rPr>
        <w:t>2）按照规划设计要点，结合老旧小区周边环境现状，综合分析路网结构，科学合理的设计施工方案，充分发挥路网的交通功能，使主要通道有较好的衔接。</w:t>
      </w:r>
    </w:p>
    <w:p w14:paraId="3A4E8819">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both"/>
        <w:textAlignment w:val="auto"/>
        <w:rPr>
          <w:rFonts w:hint="eastAsia" w:ascii="仿宋" w:hAnsi="仿宋" w:eastAsia="仿宋" w:cs="仿宋"/>
          <w:b w:val="0"/>
          <w:bCs w:val="0"/>
          <w:kern w:val="0"/>
          <w:sz w:val="32"/>
          <w:szCs w:val="32"/>
          <w:lang w:val="en-US" w:eastAsia="zh-CN" w:bidi="ar-SA"/>
        </w:rPr>
      </w:pPr>
      <w:r>
        <w:rPr>
          <w:rFonts w:hint="eastAsia" w:ascii="仿宋" w:hAnsi="仿宋" w:eastAsia="仿宋" w:cs="仿宋"/>
          <w:b w:val="0"/>
          <w:bCs w:val="0"/>
          <w:kern w:val="0"/>
          <w:sz w:val="32"/>
          <w:szCs w:val="32"/>
          <w:lang w:val="en-US" w:eastAsia="zh-CN" w:bidi="ar-SA"/>
        </w:rPr>
        <w:t>3）在保证工程质量的前提下，积极应用新材料、新技术、新工艺，以提高设计质量和施工质量，缩短工期，降低造价。</w:t>
      </w:r>
    </w:p>
    <w:p w14:paraId="3FDCEE4E">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both"/>
        <w:textAlignment w:val="auto"/>
        <w:rPr>
          <w:rFonts w:hint="eastAsia" w:ascii="仿宋" w:hAnsi="仿宋" w:eastAsia="仿宋" w:cs="仿宋"/>
          <w:b w:val="0"/>
          <w:bCs w:val="0"/>
          <w:kern w:val="0"/>
          <w:sz w:val="32"/>
          <w:szCs w:val="32"/>
          <w:lang w:val="en-US" w:eastAsia="zh-CN" w:bidi="ar-SA"/>
        </w:rPr>
      </w:pPr>
      <w:r>
        <w:rPr>
          <w:rFonts w:hint="eastAsia" w:ascii="仿宋" w:hAnsi="仿宋" w:eastAsia="仿宋" w:cs="仿宋"/>
          <w:b w:val="0"/>
          <w:bCs w:val="0"/>
          <w:kern w:val="0"/>
          <w:sz w:val="32"/>
          <w:szCs w:val="32"/>
          <w:lang w:val="en-US" w:eastAsia="zh-CN" w:bidi="ar-SA"/>
        </w:rPr>
        <w:t>4）须认真执行各项国家规范和地方各有关规定。</w:t>
      </w:r>
    </w:p>
    <w:p w14:paraId="429E7182">
      <w:pPr>
        <w:keepNext w:val="0"/>
        <w:keepLines w:val="0"/>
        <w:pageBreakBefore w:val="0"/>
        <w:widowControl w:val="0"/>
        <w:numPr>
          <w:ilvl w:val="0"/>
          <w:numId w:val="1"/>
        </w:numPr>
        <w:kinsoku/>
        <w:wordWrap/>
        <w:overflowPunct/>
        <w:topLinePunct w:val="0"/>
        <w:autoSpaceDE/>
        <w:autoSpaceDN/>
        <w:bidi w:val="0"/>
        <w:adjustRightInd/>
        <w:snapToGrid/>
        <w:spacing w:line="360" w:lineRule="auto"/>
        <w:ind w:firstLine="643" w:firstLineChars="200"/>
        <w:jc w:val="both"/>
        <w:textAlignment w:val="auto"/>
        <w:rPr>
          <w:rFonts w:hint="eastAsia" w:ascii="仿宋" w:hAnsi="仿宋" w:eastAsia="仿宋" w:cs="仿宋"/>
          <w:b/>
          <w:bCs/>
          <w:kern w:val="0"/>
          <w:sz w:val="32"/>
          <w:szCs w:val="32"/>
          <w:lang w:val="en-US" w:eastAsia="zh-CN" w:bidi="ar-SA"/>
        </w:rPr>
      </w:pPr>
      <w:r>
        <w:rPr>
          <w:rFonts w:hint="eastAsia" w:ascii="仿宋" w:hAnsi="仿宋" w:eastAsia="仿宋" w:cs="仿宋"/>
          <w:b/>
          <w:bCs/>
          <w:kern w:val="0"/>
          <w:sz w:val="32"/>
          <w:szCs w:val="32"/>
          <w:lang w:val="en-US" w:eastAsia="zh-CN" w:bidi="ar-SA"/>
        </w:rPr>
        <w:t>老城区修缮提升方案</w:t>
      </w:r>
    </w:p>
    <w:p w14:paraId="6DA2AB4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640" w:firstLineChars="20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1）门窗与幕墙</w:t>
      </w:r>
    </w:p>
    <w:p w14:paraId="45676CB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640" w:firstLineChars="20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门窗与幕墙的材料与技术性能要求</w:t>
      </w:r>
    </w:p>
    <w:p w14:paraId="21E5389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640" w:firstLineChars="20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住宅部分:楼梯间门采用钢质乙级防火门，管井门采用钢质丙级防火门。单元门采用有对讲功能防盗门。</w:t>
      </w:r>
    </w:p>
    <w:p w14:paraId="3D293E8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640" w:firstLineChars="20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外窗:外窗选用隔热断桥铝合金中空玻璃窗，门窗的传热系数需控制在 3.2W/（平方米.K）以内。气密性，水密性需满足当地节能标准。</w:t>
      </w:r>
    </w:p>
    <w:p w14:paraId="7280461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640" w:firstLineChars="20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2）外装修设计</w:t>
      </w:r>
    </w:p>
    <w:p w14:paraId="3BA26DE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640" w:firstLineChars="20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外墙立面选材中包括质感强烈的石材，与部分涂料墙面和通透玻璃构成质感对比涂料为主，颜色以规划效果图为基础，选用较明亮的色系。</w:t>
      </w:r>
    </w:p>
    <w:p w14:paraId="5D59A2F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640" w:firstLineChars="200"/>
        <w:jc w:val="both"/>
        <w:textAlignment w:val="auto"/>
        <w:rPr>
          <w:rFonts w:hint="default" w:ascii="仿宋" w:hAnsi="仿宋" w:eastAsia="仿宋" w:cs="仿宋"/>
          <w:b w:val="0"/>
          <w:bCs w:val="0"/>
          <w:kern w:val="0"/>
          <w:sz w:val="32"/>
          <w:szCs w:val="32"/>
          <w:lang w:val="en-US" w:eastAsia="zh-CN" w:bidi="ar-SA"/>
        </w:rPr>
      </w:pPr>
      <w:r>
        <w:rPr>
          <w:rFonts w:hint="eastAsia" w:ascii="仿宋" w:hAnsi="仿宋" w:eastAsia="仿宋" w:cs="仿宋"/>
          <w:b w:val="0"/>
          <w:bCs w:val="0"/>
          <w:kern w:val="0"/>
          <w:sz w:val="32"/>
          <w:szCs w:val="32"/>
          <w:lang w:val="en-US" w:eastAsia="zh-CN" w:bidi="ar-SA"/>
        </w:rPr>
        <w:t>3）</w:t>
      </w:r>
      <w:r>
        <w:rPr>
          <w:rFonts w:hint="default" w:ascii="仿宋" w:hAnsi="仿宋" w:eastAsia="仿宋" w:cs="仿宋"/>
          <w:b w:val="0"/>
          <w:bCs w:val="0"/>
          <w:kern w:val="0"/>
          <w:sz w:val="32"/>
          <w:szCs w:val="32"/>
          <w:lang w:val="en-US" w:eastAsia="zh-CN" w:bidi="ar-SA"/>
        </w:rPr>
        <w:t>围墙修缮</w:t>
      </w:r>
    </w:p>
    <w:p w14:paraId="3CEE76C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640" w:firstLineChars="20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与市国土监察部门联动，敦促临街预留地、闲置地的权属单位，砌筑符合统一标准的景观围墙，且外墙张贴宣传城市旅游名片的广告或者广告标语。对于不符合统一标准的围墙要重建或者修复。</w:t>
      </w:r>
    </w:p>
    <w:p w14:paraId="2CE81D9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640" w:firstLineChars="200"/>
        <w:jc w:val="both"/>
        <w:textAlignment w:val="auto"/>
        <w:rPr>
          <w:rFonts w:hint="default" w:ascii="仿宋" w:hAnsi="仿宋" w:eastAsia="仿宋" w:cs="仿宋"/>
          <w:b w:val="0"/>
          <w:bCs w:val="0"/>
          <w:kern w:val="0"/>
          <w:sz w:val="32"/>
          <w:szCs w:val="32"/>
          <w:lang w:val="en-US" w:eastAsia="zh-CN" w:bidi="ar-SA"/>
        </w:rPr>
      </w:pPr>
      <w:r>
        <w:rPr>
          <w:rFonts w:hint="eastAsia" w:ascii="仿宋" w:hAnsi="仿宋" w:eastAsia="仿宋" w:cs="仿宋"/>
          <w:b w:val="0"/>
          <w:bCs w:val="0"/>
          <w:kern w:val="0"/>
          <w:sz w:val="32"/>
          <w:szCs w:val="32"/>
          <w:lang w:val="en-US" w:eastAsia="zh-CN" w:bidi="ar-SA"/>
        </w:rPr>
        <w:t>4）</w:t>
      </w:r>
      <w:r>
        <w:rPr>
          <w:rFonts w:hint="default" w:ascii="仿宋" w:hAnsi="仿宋" w:eastAsia="仿宋" w:cs="仿宋"/>
          <w:b w:val="0"/>
          <w:bCs w:val="0"/>
          <w:kern w:val="0"/>
          <w:sz w:val="32"/>
          <w:szCs w:val="32"/>
          <w:lang w:val="en-US" w:eastAsia="zh-CN" w:bidi="ar-SA"/>
        </w:rPr>
        <w:t>立面修缮</w:t>
      </w:r>
    </w:p>
    <w:p w14:paraId="5AD77A7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640" w:firstLineChars="20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对于重点的景观景点内的建（构）筑物、桥梁围护结构、景观墙面、公交站牌进行清洗，分路段、分站点、分时段循环机制的工作组织方式，保障清洁效果。清洗、粉刷临街建筑物污损的外立面，确保建筑物墙体清洁、美观。整修临街建筑物破损的建筑物墙面，整理临街建筑物里面各类乱拉乱接的管线，确保建筑立面外形完好，管线规范有序。对现有楼房进行基础修缮、打通连接道路，增加交通便捷性，保护利用老墙面、老物件并加入特有的艺术元素，使街区新旧交替，新潮与古朴相结合。通过保留局部的建筑风貌，在民居原有基础上进行加固和包装，使其在保留小市原有建筑风貌的同时也满足现代人的审美。</w:t>
      </w:r>
    </w:p>
    <w:p w14:paraId="3BA4D1A4">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643" w:firstLineChars="200"/>
        <w:jc w:val="both"/>
        <w:textAlignment w:val="auto"/>
        <w:rPr>
          <w:rFonts w:hint="default" w:ascii="仿宋" w:hAnsi="仿宋" w:eastAsia="仿宋" w:cs="仿宋"/>
          <w:b/>
          <w:bCs/>
          <w:kern w:val="0"/>
          <w:sz w:val="32"/>
          <w:szCs w:val="32"/>
          <w:lang w:val="en-US" w:eastAsia="zh-CN" w:bidi="ar-SA"/>
        </w:rPr>
      </w:pPr>
      <w:r>
        <w:rPr>
          <w:rFonts w:hint="eastAsia" w:ascii="仿宋" w:hAnsi="仿宋" w:eastAsia="仿宋" w:cs="仿宋"/>
          <w:b/>
          <w:bCs/>
          <w:kern w:val="0"/>
          <w:sz w:val="32"/>
          <w:szCs w:val="32"/>
          <w:lang w:val="en-US" w:eastAsia="zh-CN" w:bidi="ar-SA"/>
        </w:rPr>
        <w:t>景观附属工程设计</w:t>
      </w:r>
    </w:p>
    <w:p w14:paraId="02168F7B">
      <w:pPr>
        <w:keepNext w:val="0"/>
        <w:keepLines w:val="0"/>
        <w:pageBreakBefore w:val="0"/>
        <w:widowControl w:val="0"/>
        <w:numPr>
          <w:ilvl w:val="0"/>
          <w:numId w:val="2"/>
        </w:numPr>
        <w:kinsoku/>
        <w:wordWrap/>
        <w:overflowPunct/>
        <w:topLinePunct w:val="0"/>
        <w:autoSpaceDE/>
        <w:autoSpaceDN/>
        <w:bidi w:val="0"/>
        <w:adjustRightInd/>
        <w:snapToGrid/>
        <w:spacing w:line="360" w:lineRule="auto"/>
        <w:ind w:leftChars="200" w:firstLine="0" w:firstLineChars="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小区公共空间打造</w:t>
      </w:r>
    </w:p>
    <w:p w14:paraId="2DF952B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200" w:firstLine="640" w:firstLineChars="20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维修和完善老旧小区内广场、绿地和居民健身活动场地，并配置座椅、健身器材、非机动停车棚等公共设施。活动场地满足地势平坦、环境良好、排水通畅的要求，保证居民活动的安全。同时增设体现小区历史文化特色的景观墙、宣传栏等构筑物，增强小区生态和文化特色。</w:t>
      </w:r>
    </w:p>
    <w:p w14:paraId="550B5BA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200" w:firstLine="0" w:firstLineChars="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2</w:t>
      </w:r>
      <w:r>
        <w:rPr>
          <w:rFonts w:hint="eastAsia" w:ascii="仿宋" w:hAnsi="仿宋" w:eastAsia="仿宋" w:cs="仿宋"/>
          <w:b w:val="0"/>
          <w:bCs w:val="0"/>
          <w:kern w:val="0"/>
          <w:sz w:val="32"/>
          <w:szCs w:val="32"/>
          <w:lang w:val="en-US" w:eastAsia="zh-CN" w:bidi="ar-SA"/>
        </w:rPr>
        <w:t>）公共绿化</w:t>
      </w:r>
    </w:p>
    <w:p w14:paraId="05A09F3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200" w:firstLine="0" w:firstLineChars="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绿化改造包含以下 2 个方面：</w:t>
      </w:r>
    </w:p>
    <w:p w14:paraId="1771FB6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200" w:firstLine="640" w:firstLineChars="20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针对居民及业主提出的多余绿化及违建予以拆除后改为硬化地面。</w:t>
      </w:r>
    </w:p>
    <w:p w14:paraId="3CE99E4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200" w:firstLine="640" w:firstLineChars="20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有观赏价值且后期可由居民维护打理的绿化进行升级改造，改造方式如下:</w:t>
      </w:r>
    </w:p>
    <w:p w14:paraId="7371E8B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200" w:firstLine="640" w:firstLineChars="20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原有花坛边进行美化包装，采用小青砖或花岗石贴面；花坛内植物换为美观易打理的植物，如金叶贞、红花继木、夏鹏、三角梅灌木型、金桂、台湾二号草坪等；保留和利用小区原有树木并新建花岗石可坐人树池，整治公共绿地，恢复绿化功能；增设垂直绿化，可采用围墙上悬挂咸品轮胎花盆绿植及常春藤盆栽或种植垂吊</w:t>
      </w:r>
    </w:p>
    <w:p w14:paraId="695EBD3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200" w:firstLine="0" w:firstLineChars="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型三角梅的方式。</w:t>
      </w:r>
    </w:p>
    <w:p w14:paraId="6123E2C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200" w:firstLine="0" w:firstLineChars="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3</w:t>
      </w:r>
      <w:r>
        <w:rPr>
          <w:rFonts w:hint="eastAsia" w:ascii="仿宋" w:hAnsi="仿宋" w:eastAsia="仿宋" w:cs="仿宋"/>
          <w:b w:val="0"/>
          <w:bCs w:val="0"/>
          <w:kern w:val="0"/>
          <w:sz w:val="32"/>
          <w:szCs w:val="32"/>
          <w:lang w:val="en-US" w:eastAsia="zh-CN" w:bidi="ar-SA"/>
        </w:rPr>
        <w:t>）围墙、挡墙、室外铺装</w:t>
      </w:r>
    </w:p>
    <w:p w14:paraId="6F2B9BA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200" w:firstLine="640" w:firstLineChars="20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对存在安全隐患和老化破损的围墙进行修缮，保证居民和行人安全。原有围墙为砖砌围墙的，可结合立体绿化及宣传栏进行改造。对部分室外台阶及地面采用芝麻灰花岗石或青石铺装，将部分斜披打滑地面政为拉槽防滑花岗石地面。</w:t>
      </w:r>
    </w:p>
    <w:p w14:paraId="75963C1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200" w:firstLine="0" w:firstLineChars="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4</w:t>
      </w:r>
      <w:r>
        <w:rPr>
          <w:rFonts w:hint="eastAsia" w:ascii="仿宋" w:hAnsi="仿宋" w:eastAsia="仿宋" w:cs="仿宋"/>
          <w:b w:val="0"/>
          <w:bCs w:val="0"/>
          <w:kern w:val="0"/>
          <w:sz w:val="32"/>
          <w:szCs w:val="32"/>
          <w:lang w:val="en-US" w:eastAsia="zh-CN" w:bidi="ar-SA"/>
        </w:rPr>
        <w:t xml:space="preserve">）环卫设施改造 </w:t>
      </w:r>
    </w:p>
    <w:p w14:paraId="3AE825D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200" w:firstLine="640" w:firstLineChars="20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垃圾收集设施（包含垃坂桶及砖砌垃圾池）更换为四分类垃圾亭（合四分类垃圾桶）。</w:t>
      </w:r>
    </w:p>
    <w:p w14:paraId="04B3605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200" w:firstLine="0" w:firstLineChars="0"/>
        <w:jc w:val="both"/>
        <w:textAlignment w:val="auto"/>
        <w:rPr>
          <w:rFonts w:hint="default" w:ascii="仿宋" w:hAnsi="仿宋" w:eastAsia="仿宋" w:cs="仿宋"/>
          <w:b w:val="0"/>
          <w:bCs w:val="0"/>
          <w:kern w:val="0"/>
          <w:sz w:val="32"/>
          <w:szCs w:val="32"/>
          <w:lang w:val="en-US" w:eastAsia="zh-CN" w:bidi="ar-SA"/>
        </w:rPr>
      </w:pPr>
      <w:r>
        <w:rPr>
          <w:rFonts w:hint="eastAsia" w:ascii="仿宋" w:hAnsi="仿宋" w:eastAsia="仿宋" w:cs="仿宋"/>
          <w:b w:val="0"/>
          <w:bCs w:val="0"/>
          <w:kern w:val="0"/>
          <w:sz w:val="32"/>
          <w:szCs w:val="32"/>
          <w:lang w:val="en-US" w:eastAsia="zh-CN" w:bidi="ar-SA"/>
        </w:rPr>
        <w:t>5）其余附属景观</w:t>
      </w:r>
    </w:p>
    <w:p w14:paraId="502CE4D2">
      <w:pPr>
        <w:keepNext w:val="0"/>
        <w:keepLines w:val="0"/>
        <w:pageBreakBefore w:val="0"/>
        <w:widowControl/>
        <w:suppressLineNumbers w:val="0"/>
        <w:wordWrap/>
        <w:topLinePunct w:val="0"/>
        <w:autoSpaceDE/>
        <w:autoSpaceDN/>
        <w:bidi w:val="0"/>
        <w:adjustRightInd/>
        <w:snapToGrid/>
        <w:spacing w:line="360" w:lineRule="auto"/>
        <w:ind w:firstLine="640" w:firstLineChars="200"/>
        <w:jc w:val="left"/>
        <w:textAlignment w:val="auto"/>
        <w:rPr>
          <w:rFonts w:hint="default" w:ascii="仿宋" w:hAnsi="仿宋" w:eastAsia="仿宋" w:cs="仿宋"/>
          <w:b w:val="0"/>
          <w:bCs w:val="0"/>
          <w:kern w:val="0"/>
          <w:sz w:val="32"/>
          <w:szCs w:val="32"/>
          <w:lang w:val="en-US" w:eastAsia="zh-CN" w:bidi="ar-SA"/>
        </w:rPr>
      </w:pPr>
      <w:r>
        <w:rPr>
          <w:rFonts w:hint="eastAsia" w:ascii="仿宋" w:hAnsi="仿宋" w:eastAsia="仿宋" w:cs="仿宋"/>
          <w:b w:val="0"/>
          <w:bCs w:val="0"/>
          <w:kern w:val="0"/>
          <w:sz w:val="32"/>
          <w:szCs w:val="32"/>
          <w:lang w:val="en-US" w:eastAsia="zh-CN" w:bidi="ar-SA"/>
        </w:rPr>
        <w:t xml:space="preserve">原室外桌椅更换为成品花岗石桌椅，大部分区域放置室外休闲椅，增设健身器材及非机动车棚，设置仿古宣传栏及成品宣传牌。 </w:t>
      </w:r>
    </w:p>
    <w:p w14:paraId="6A42894A">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643" w:firstLineChars="200"/>
        <w:jc w:val="both"/>
        <w:textAlignment w:val="auto"/>
        <w:rPr>
          <w:rFonts w:hint="eastAsia" w:ascii="仿宋" w:hAnsi="仿宋" w:eastAsia="仿宋" w:cs="仿宋"/>
          <w:b/>
          <w:bCs/>
          <w:kern w:val="0"/>
          <w:sz w:val="32"/>
          <w:szCs w:val="32"/>
          <w:lang w:val="en-US" w:eastAsia="zh-CN" w:bidi="ar-SA"/>
        </w:rPr>
      </w:pPr>
      <w:r>
        <w:rPr>
          <w:rFonts w:hint="eastAsia" w:ascii="仿宋" w:hAnsi="仿宋" w:eastAsia="仿宋" w:cs="仿宋"/>
          <w:b/>
          <w:bCs/>
          <w:kern w:val="0"/>
          <w:sz w:val="32"/>
          <w:szCs w:val="32"/>
          <w:lang w:val="en-US" w:eastAsia="zh-CN" w:bidi="ar-SA"/>
        </w:rPr>
        <w:t xml:space="preserve">其他公共服务设施 </w:t>
      </w:r>
    </w:p>
    <w:p w14:paraId="5831E5E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200" w:firstLine="0" w:firstLineChars="0"/>
        <w:jc w:val="both"/>
        <w:textAlignment w:val="auto"/>
        <w:rPr>
          <w:rFonts w:hint="eastAsia"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1</w:t>
      </w:r>
      <w:r>
        <w:rPr>
          <w:rFonts w:hint="eastAsia" w:ascii="仿宋" w:hAnsi="仿宋" w:eastAsia="仿宋" w:cs="仿宋"/>
          <w:b w:val="0"/>
          <w:bCs w:val="0"/>
          <w:kern w:val="0"/>
          <w:sz w:val="32"/>
          <w:szCs w:val="32"/>
          <w:lang w:val="en-US" w:eastAsia="zh-CN" w:bidi="ar-SA"/>
        </w:rPr>
        <w:t xml:space="preserve">）机动车停车位、非机动车车棚 </w:t>
      </w:r>
    </w:p>
    <w:p w14:paraId="3391869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640" w:firstLineChars="20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小区现状停车无规划，车辆、非机动车乱停放，缺乏电动车车棚。将原有绿地后移或拆除，乔、灌木移栽，仅保留 30cm 灌木种植区作为隔离带。场地平整后加铺混凝土统一规划标准车位。增加带雨棚的 L 形非机动车车棚停车场，采用铝合金框架和阳光板。内部车行道路水泥混凝土路面局部破损开裂，机动车非机动车乱停乱放，本次改造对破损路面凿除面层及基层新做基层及沥青混凝土，相对完好路面新做沥青混凝土，车位划线，设置车档，针对老旧小区车位不足，局部拆除花池，增设停车位，设置非机动车棚，规范停车，停车位增设电动汽车充电桩。充电桩的交流工作电压（220±15%）V，额度输出电流（AC）为 32A（七芯插座），</w:t>
      </w:r>
    </w:p>
    <w:p w14:paraId="098F41B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0" w:firstLineChars="0"/>
        <w:jc w:val="both"/>
        <w:textAlignment w:val="auto"/>
        <w:rPr>
          <w:rFonts w:hint="default" w:ascii="仿宋" w:hAnsi="仿宋" w:eastAsia="仿宋" w:cs="仿宋"/>
          <w:b w:val="0"/>
          <w:bCs w:val="0"/>
          <w:kern w:val="0"/>
          <w:sz w:val="32"/>
          <w:szCs w:val="32"/>
          <w:lang w:val="en-US" w:eastAsia="zh-CN" w:bidi="ar-SA"/>
        </w:rPr>
      </w:pPr>
      <w:r>
        <w:rPr>
          <w:rFonts w:hint="default" w:ascii="仿宋" w:hAnsi="仿宋" w:eastAsia="仿宋" w:cs="仿宋"/>
          <w:b w:val="0"/>
          <w:bCs w:val="0"/>
          <w:kern w:val="0"/>
          <w:sz w:val="32"/>
          <w:szCs w:val="32"/>
          <w:lang w:val="en-US" w:eastAsia="zh-CN" w:bidi="ar-SA"/>
        </w:rPr>
        <w:t>普通纯电动轿车用交流充电桩充满电大约需要 6～8h，充电桩适用于慢速充电。充电桩一般由桩体、电气模块、计量模块、账务管理模块四部分组成。</w:t>
      </w:r>
    </w:p>
    <w:p w14:paraId="01826653">
      <w:pPr>
        <w:keepNext w:val="0"/>
        <w:keepLines w:val="0"/>
        <w:pageBreakBefore w:val="0"/>
        <w:widowControl w:val="0"/>
        <w:numPr>
          <w:ilvl w:val="0"/>
          <w:numId w:val="2"/>
        </w:numPr>
        <w:kinsoku/>
        <w:wordWrap/>
        <w:overflowPunct/>
        <w:topLinePunct w:val="0"/>
        <w:autoSpaceDE/>
        <w:autoSpaceDN/>
        <w:bidi w:val="0"/>
        <w:adjustRightInd/>
        <w:snapToGrid/>
        <w:spacing w:line="360" w:lineRule="auto"/>
        <w:ind w:left="600" w:leftChars="200" w:firstLine="0" w:firstLineChars="0"/>
        <w:jc w:val="both"/>
        <w:textAlignment w:val="auto"/>
        <w:rPr>
          <w:rFonts w:hint="eastAsia" w:ascii="仿宋" w:hAnsi="仿宋" w:eastAsia="仿宋" w:cs="仿宋"/>
          <w:b w:val="0"/>
          <w:bCs w:val="0"/>
          <w:kern w:val="0"/>
          <w:sz w:val="32"/>
          <w:szCs w:val="32"/>
          <w:lang w:val="en-US" w:eastAsia="zh-CN" w:bidi="ar-SA"/>
        </w:rPr>
      </w:pPr>
      <w:r>
        <w:rPr>
          <w:rFonts w:hint="eastAsia" w:ascii="仿宋" w:hAnsi="仿宋" w:eastAsia="仿宋" w:cs="仿宋"/>
          <w:b w:val="0"/>
          <w:bCs w:val="0"/>
          <w:kern w:val="0"/>
          <w:sz w:val="32"/>
          <w:szCs w:val="32"/>
          <w:lang w:val="en-US" w:eastAsia="zh-CN" w:bidi="ar-SA"/>
        </w:rPr>
        <w:t xml:space="preserve">围墙栏杆 </w:t>
      </w:r>
    </w:p>
    <w:p w14:paraId="2D46DC2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640" w:firstLineChars="200"/>
        <w:jc w:val="both"/>
        <w:textAlignment w:val="auto"/>
        <w:rPr>
          <w:rFonts w:hint="default" w:ascii="仿宋" w:hAnsi="仿宋" w:eastAsia="仿宋" w:cs="仿宋"/>
          <w:b w:val="0"/>
          <w:bCs w:val="0"/>
          <w:kern w:val="0"/>
          <w:sz w:val="32"/>
          <w:szCs w:val="32"/>
          <w:lang w:val="en-US" w:eastAsia="zh-CN" w:bidi="ar-SA"/>
        </w:rPr>
      </w:pPr>
      <w:r>
        <w:rPr>
          <w:rFonts w:hint="eastAsia" w:ascii="仿宋" w:hAnsi="仿宋" w:eastAsia="仿宋" w:cs="仿宋"/>
          <w:b w:val="0"/>
          <w:bCs w:val="0"/>
          <w:kern w:val="0"/>
          <w:sz w:val="32"/>
          <w:szCs w:val="32"/>
          <w:lang w:val="en-US" w:eastAsia="zh-CN" w:bidi="ar-SA"/>
        </w:rPr>
        <w:t xml:space="preserve">小区内外围墙杂草丛生，围墙老旧抹灰层脱落，现状宣传栏老旧，本次改造清理所有围墙，新做抹灰，文化宣传上墙。 局部临空处无护栏存在安全隐患，高差大的有 </w:t>
      </w:r>
      <w:r>
        <w:rPr>
          <w:rFonts w:hint="default" w:ascii="仿宋" w:hAnsi="仿宋" w:eastAsia="仿宋" w:cs="仿宋"/>
          <w:b w:val="0"/>
          <w:bCs w:val="0"/>
          <w:kern w:val="0"/>
          <w:sz w:val="32"/>
          <w:szCs w:val="32"/>
          <w:lang w:val="en-US" w:eastAsia="zh-CN" w:bidi="ar-SA"/>
        </w:rPr>
        <w:t>0.5~1m</w:t>
      </w:r>
      <w:r>
        <w:rPr>
          <w:rFonts w:hint="eastAsia" w:ascii="仿宋" w:hAnsi="仿宋" w:eastAsia="仿宋" w:cs="仿宋"/>
          <w:b w:val="0"/>
          <w:bCs w:val="0"/>
          <w:kern w:val="0"/>
          <w:sz w:val="32"/>
          <w:szCs w:val="32"/>
          <w:lang w:val="en-US" w:eastAsia="zh-CN" w:bidi="ar-SA"/>
        </w:rPr>
        <w:t>，本次改造对临空存在安全隐患部位增设护栏。</w:t>
      </w:r>
    </w:p>
    <w:p w14:paraId="43ED8AF1">
      <w:pPr>
        <w:keepNext w:val="0"/>
        <w:keepLines w:val="0"/>
        <w:pageBreakBefore w:val="0"/>
        <w:widowControl w:val="0"/>
        <w:numPr>
          <w:ilvl w:val="0"/>
          <w:numId w:val="2"/>
        </w:numPr>
        <w:kinsoku/>
        <w:wordWrap/>
        <w:overflowPunct/>
        <w:topLinePunct w:val="0"/>
        <w:autoSpaceDE/>
        <w:autoSpaceDN/>
        <w:bidi w:val="0"/>
        <w:adjustRightInd/>
        <w:snapToGrid/>
        <w:spacing w:line="360" w:lineRule="auto"/>
        <w:ind w:left="600" w:leftChars="200" w:firstLine="0" w:firstLineChars="0"/>
        <w:jc w:val="both"/>
        <w:textAlignment w:val="auto"/>
        <w:rPr>
          <w:rFonts w:hint="eastAsia" w:ascii="仿宋" w:hAnsi="仿宋" w:eastAsia="仿宋" w:cs="仿宋"/>
          <w:b w:val="0"/>
          <w:bCs w:val="0"/>
          <w:kern w:val="0"/>
          <w:sz w:val="32"/>
          <w:szCs w:val="32"/>
          <w:lang w:val="en-US" w:eastAsia="zh-CN" w:bidi="ar-SA"/>
        </w:rPr>
      </w:pPr>
      <w:r>
        <w:rPr>
          <w:rFonts w:hint="eastAsia" w:ascii="仿宋" w:hAnsi="仿宋" w:eastAsia="仿宋" w:cs="仿宋"/>
          <w:b w:val="0"/>
          <w:bCs w:val="0"/>
          <w:kern w:val="0"/>
          <w:sz w:val="32"/>
          <w:szCs w:val="32"/>
          <w:lang w:val="en-US" w:eastAsia="zh-CN" w:bidi="ar-SA"/>
        </w:rPr>
        <w:t>生活垃圾收集点</w:t>
      </w:r>
    </w:p>
    <w:p w14:paraId="16C659BF">
      <w:pPr>
        <w:keepNext w:val="0"/>
        <w:keepLines w:val="0"/>
        <w:pageBreakBefore w:val="0"/>
        <w:widowControl/>
        <w:suppressLineNumbers w:val="0"/>
        <w:wordWrap/>
        <w:topLinePunct w:val="0"/>
        <w:autoSpaceDE/>
        <w:autoSpaceDN/>
        <w:bidi w:val="0"/>
        <w:adjustRightInd/>
        <w:snapToGrid/>
        <w:spacing w:line="360" w:lineRule="auto"/>
        <w:ind w:firstLine="640" w:firstLineChars="200"/>
        <w:jc w:val="left"/>
        <w:textAlignment w:val="auto"/>
        <w:rPr>
          <w:rFonts w:hint="eastAsia" w:ascii="仿宋" w:hAnsi="仿宋" w:eastAsia="仿宋" w:cs="仿宋"/>
          <w:b w:val="0"/>
          <w:bCs w:val="0"/>
          <w:kern w:val="0"/>
          <w:sz w:val="32"/>
          <w:szCs w:val="32"/>
          <w:lang w:val="en-US" w:eastAsia="zh-CN" w:bidi="ar-SA"/>
        </w:rPr>
      </w:pPr>
      <w:r>
        <w:rPr>
          <w:rFonts w:hint="eastAsia" w:ascii="仿宋" w:hAnsi="仿宋" w:eastAsia="仿宋" w:cs="仿宋"/>
          <w:b w:val="0"/>
          <w:bCs w:val="0"/>
          <w:kern w:val="0"/>
          <w:sz w:val="32"/>
          <w:szCs w:val="32"/>
          <w:lang w:val="en-US" w:eastAsia="zh-CN" w:bidi="ar-SA"/>
        </w:rPr>
        <w:t xml:space="preserve">生活垃圾收集点服务半径不应大于 </w:t>
      </w:r>
      <w:r>
        <w:rPr>
          <w:rFonts w:hint="default" w:ascii="仿宋" w:hAnsi="仿宋" w:eastAsia="仿宋" w:cs="仿宋"/>
          <w:b w:val="0"/>
          <w:bCs w:val="0"/>
          <w:kern w:val="0"/>
          <w:sz w:val="32"/>
          <w:szCs w:val="32"/>
          <w:lang w:val="en-US" w:eastAsia="zh-CN" w:bidi="ar-SA"/>
        </w:rPr>
        <w:t>70m</w:t>
      </w:r>
      <w:r>
        <w:rPr>
          <w:rFonts w:hint="eastAsia" w:ascii="仿宋" w:hAnsi="仿宋" w:eastAsia="仿宋" w:cs="仿宋"/>
          <w:b w:val="0"/>
          <w:bCs w:val="0"/>
          <w:kern w:val="0"/>
          <w:sz w:val="32"/>
          <w:szCs w:val="32"/>
          <w:lang w:val="en-US" w:eastAsia="zh-CN" w:bidi="ar-SA"/>
        </w:rPr>
        <w:t xml:space="preserve">，应采用分类收集，宜采用密闭方式。生活垃圾收焦点可采用放置垃圾容器或建造垃圾容器间方式；采用混合收集垃圾容器间时，建筑面积不宜小于 </w:t>
      </w:r>
      <w:r>
        <w:rPr>
          <w:rFonts w:hint="default" w:ascii="仿宋" w:hAnsi="仿宋" w:eastAsia="仿宋" w:cs="仿宋"/>
          <w:b w:val="0"/>
          <w:bCs w:val="0"/>
          <w:kern w:val="0"/>
          <w:sz w:val="32"/>
          <w:szCs w:val="32"/>
          <w:lang w:val="en-US" w:eastAsia="zh-CN" w:bidi="ar-SA"/>
        </w:rPr>
        <w:t xml:space="preserve">5 </w:t>
      </w:r>
      <w:r>
        <w:rPr>
          <w:rFonts w:hint="eastAsia" w:ascii="仿宋" w:hAnsi="仿宋" w:eastAsia="仿宋" w:cs="仿宋"/>
          <w:b w:val="0"/>
          <w:bCs w:val="0"/>
          <w:kern w:val="0"/>
          <w:sz w:val="32"/>
          <w:szCs w:val="32"/>
          <w:lang w:val="en-US" w:eastAsia="zh-CN" w:bidi="ar-SA"/>
        </w:rPr>
        <w:t xml:space="preserve">㎡；采用分类收集垃圾容器间时，建筑面积不宜小于 </w:t>
      </w:r>
      <w:r>
        <w:rPr>
          <w:rFonts w:hint="default" w:ascii="仿宋" w:hAnsi="仿宋" w:eastAsia="仿宋" w:cs="仿宋"/>
          <w:b w:val="0"/>
          <w:bCs w:val="0"/>
          <w:kern w:val="0"/>
          <w:sz w:val="32"/>
          <w:szCs w:val="32"/>
          <w:lang w:val="en-US" w:eastAsia="zh-CN" w:bidi="ar-SA"/>
        </w:rPr>
        <w:t xml:space="preserve">10 </w:t>
      </w:r>
      <w:r>
        <w:rPr>
          <w:rFonts w:hint="eastAsia" w:ascii="仿宋" w:hAnsi="仿宋" w:eastAsia="仿宋" w:cs="仿宋"/>
          <w:b w:val="0"/>
          <w:bCs w:val="0"/>
          <w:kern w:val="0"/>
          <w:sz w:val="32"/>
          <w:szCs w:val="32"/>
          <w:lang w:val="en-US" w:eastAsia="zh-CN" w:bidi="ar-SA"/>
        </w:rPr>
        <w:t xml:space="preserve">㎡。每个居民小区至少设置一处可回收物与有害垃圾集中收集点。布置于易投放位置，如楼栋出入口、小区出入口等位置。 </w:t>
      </w:r>
    </w:p>
    <w:p w14:paraId="72F7CAAF">
      <w:pPr>
        <w:keepNext w:val="0"/>
        <w:keepLines w:val="0"/>
        <w:pageBreakBefore w:val="0"/>
        <w:widowControl w:val="0"/>
        <w:numPr>
          <w:ilvl w:val="0"/>
          <w:numId w:val="2"/>
        </w:numPr>
        <w:kinsoku/>
        <w:wordWrap/>
        <w:overflowPunct/>
        <w:topLinePunct w:val="0"/>
        <w:autoSpaceDE/>
        <w:autoSpaceDN/>
        <w:bidi w:val="0"/>
        <w:adjustRightInd/>
        <w:snapToGrid/>
        <w:spacing w:line="360" w:lineRule="auto"/>
        <w:ind w:left="600" w:leftChars="200" w:firstLine="0" w:firstLineChars="0"/>
        <w:jc w:val="both"/>
        <w:textAlignment w:val="auto"/>
        <w:rPr>
          <w:rFonts w:hint="eastAsia" w:ascii="仿宋" w:hAnsi="仿宋" w:eastAsia="仿宋" w:cs="仿宋"/>
          <w:b w:val="0"/>
          <w:bCs w:val="0"/>
          <w:kern w:val="0"/>
          <w:sz w:val="32"/>
          <w:szCs w:val="32"/>
          <w:lang w:val="en-US" w:eastAsia="zh-CN" w:bidi="ar-SA"/>
        </w:rPr>
      </w:pPr>
      <w:r>
        <w:rPr>
          <w:rFonts w:hint="eastAsia" w:ascii="仿宋" w:hAnsi="仿宋" w:eastAsia="仿宋" w:cs="仿宋"/>
          <w:b w:val="0"/>
          <w:bCs w:val="0"/>
          <w:kern w:val="0"/>
          <w:sz w:val="32"/>
          <w:szCs w:val="32"/>
          <w:lang w:val="en-US" w:eastAsia="zh-CN" w:bidi="ar-SA"/>
        </w:rPr>
        <w:t>电气设施改造</w:t>
      </w:r>
    </w:p>
    <w:p w14:paraId="34CF9551">
      <w:pPr>
        <w:keepNext w:val="0"/>
        <w:keepLines w:val="0"/>
        <w:pageBreakBefore w:val="0"/>
        <w:widowControl/>
        <w:suppressLineNumbers w:val="0"/>
        <w:wordWrap/>
        <w:topLinePunct w:val="0"/>
        <w:autoSpaceDE/>
        <w:autoSpaceDN/>
        <w:bidi w:val="0"/>
        <w:adjustRightInd/>
        <w:snapToGrid/>
        <w:spacing w:line="360" w:lineRule="auto"/>
        <w:ind w:firstLine="640" w:firstLineChars="200"/>
        <w:jc w:val="left"/>
        <w:textAlignment w:val="auto"/>
        <w:rPr>
          <w:rFonts w:hint="default" w:ascii="仿宋" w:hAnsi="仿宋" w:eastAsia="仿宋" w:cs="仿宋"/>
          <w:b w:val="0"/>
          <w:bCs w:val="0"/>
          <w:kern w:val="0"/>
          <w:sz w:val="32"/>
          <w:szCs w:val="32"/>
          <w:lang w:val="en-US" w:eastAsia="zh-CN" w:bidi="ar-SA"/>
        </w:rPr>
      </w:pPr>
      <w:r>
        <w:rPr>
          <w:rFonts w:hint="eastAsia" w:ascii="仿宋" w:hAnsi="仿宋" w:eastAsia="仿宋" w:cs="仿宋"/>
          <w:b w:val="0"/>
          <w:bCs w:val="0"/>
          <w:kern w:val="0"/>
          <w:sz w:val="32"/>
          <w:szCs w:val="32"/>
          <w:lang w:val="en-US" w:eastAsia="zh-CN" w:bidi="ar-SA"/>
        </w:rPr>
        <w:t>为小区提供安全保障，杜绝闲杂人员及社会车辆随意进出小区，提升居住安全感，创造舒适的人居环境。 在小区主要出入口，过道设置安防监控摄像头。因本项目为改造项目，难以找到合适的房间设置监控机房，故项目采用插卡式监控摄像头，每个摄像头内置存储卡，并具有无线通信功能，仅需为监控提供电源即可使用。在三个小区车行出入口处设车辆识别道闸，新增道闸系统及岗亭，含道闸、票箱、车辆识别器、管理软件、显示屏组成。在小区内增加路灯，提升夜间照明亮度。合江县日均日照时长过短，且小区内存在树木和房屋的遮挡，不宜设置太阳能路灯。本次依然采用传统的供电庭院灯。电源考虑由各小区公共区域照明回路引来，电费计入公共用电负荷。热电厂小区新增庭院灯</w:t>
      </w:r>
      <w:r>
        <w:rPr>
          <w:rFonts w:hint="default" w:ascii="仿宋" w:hAnsi="仿宋" w:eastAsia="仿宋" w:cs="仿宋"/>
          <w:b w:val="0"/>
          <w:bCs w:val="0"/>
          <w:kern w:val="0"/>
          <w:sz w:val="32"/>
          <w:szCs w:val="32"/>
          <w:lang w:val="en-US" w:eastAsia="zh-CN" w:bidi="ar-SA"/>
        </w:rPr>
        <w:t>17</w:t>
      </w:r>
      <w:r>
        <w:rPr>
          <w:rFonts w:hint="eastAsia" w:ascii="仿宋" w:hAnsi="仿宋" w:eastAsia="仿宋" w:cs="仿宋"/>
          <w:b w:val="0"/>
          <w:bCs w:val="0"/>
          <w:kern w:val="0"/>
          <w:sz w:val="32"/>
          <w:szCs w:val="32"/>
          <w:lang w:val="en-US" w:eastAsia="zh-CN" w:bidi="ar-SA"/>
        </w:rPr>
        <w:t xml:space="preserve">套，张湾安置房小区新增庭院灯 </w:t>
      </w:r>
      <w:r>
        <w:rPr>
          <w:rFonts w:hint="default" w:ascii="仿宋" w:hAnsi="仿宋" w:eastAsia="仿宋" w:cs="仿宋"/>
          <w:b w:val="0"/>
          <w:bCs w:val="0"/>
          <w:kern w:val="0"/>
          <w:sz w:val="32"/>
          <w:szCs w:val="32"/>
          <w:lang w:val="en-US" w:eastAsia="zh-CN" w:bidi="ar-SA"/>
        </w:rPr>
        <w:t xml:space="preserve">14 </w:t>
      </w:r>
      <w:r>
        <w:rPr>
          <w:rFonts w:hint="eastAsia" w:ascii="仿宋" w:hAnsi="仿宋" w:eastAsia="仿宋" w:cs="仿宋"/>
          <w:b w:val="0"/>
          <w:bCs w:val="0"/>
          <w:kern w:val="0"/>
          <w:sz w:val="32"/>
          <w:szCs w:val="32"/>
          <w:lang w:val="en-US" w:eastAsia="zh-CN" w:bidi="ar-SA"/>
        </w:rPr>
        <w:t xml:space="preserve">套，联榕坝安置房小区新增庭院灯 </w:t>
      </w:r>
      <w:r>
        <w:rPr>
          <w:rFonts w:hint="default" w:ascii="仿宋" w:hAnsi="仿宋" w:eastAsia="仿宋" w:cs="仿宋"/>
          <w:b w:val="0"/>
          <w:bCs w:val="0"/>
          <w:kern w:val="0"/>
          <w:sz w:val="32"/>
          <w:szCs w:val="32"/>
          <w:lang w:val="en-US" w:eastAsia="zh-CN" w:bidi="ar-SA"/>
        </w:rPr>
        <w:t xml:space="preserve">22 </w:t>
      </w:r>
      <w:r>
        <w:rPr>
          <w:rFonts w:hint="eastAsia" w:ascii="仿宋" w:hAnsi="仿宋" w:eastAsia="仿宋" w:cs="仿宋"/>
          <w:b w:val="0"/>
          <w:bCs w:val="0"/>
          <w:kern w:val="0"/>
          <w:sz w:val="32"/>
          <w:szCs w:val="32"/>
          <w:lang w:val="en-US" w:eastAsia="zh-CN" w:bidi="ar-SA"/>
        </w:rPr>
        <w:t xml:space="preserve">套。 </w:t>
      </w:r>
    </w:p>
    <w:p w14:paraId="4C304621">
      <w:pPr>
        <w:keepNext/>
        <w:keepLines/>
        <w:pageBreakBefore w:val="0"/>
        <w:widowControl w:val="0"/>
        <w:numPr>
          <w:ilvl w:val="2"/>
          <w:numId w:val="0"/>
        </w:numPr>
        <w:tabs>
          <w:tab w:val="left" w:pos="0"/>
        </w:tabs>
        <w:kinsoku/>
        <w:wordWrap/>
        <w:overflowPunct/>
        <w:topLinePunct w:val="0"/>
        <w:autoSpaceDE/>
        <w:autoSpaceDN/>
        <w:bidi w:val="0"/>
        <w:adjustRightInd/>
        <w:snapToGrid/>
        <w:spacing w:before="157" w:beforeLines="50" w:after="157" w:afterLines="50" w:line="360" w:lineRule="auto"/>
        <w:ind w:left="0" w:leftChars="0" w:firstLine="643" w:firstLineChars="200"/>
        <w:jc w:val="both"/>
        <w:textAlignment w:val="auto"/>
        <w:outlineLvl w:val="2"/>
        <w:rPr>
          <w:rFonts w:hint="eastAsia" w:ascii="仿宋" w:hAnsi="仿宋" w:eastAsia="仿宋" w:cs="仿宋"/>
          <w:b/>
          <w:bCs/>
          <w:kern w:val="2"/>
          <w:sz w:val="32"/>
          <w:szCs w:val="28"/>
          <w:lang w:val="en-US" w:eastAsia="zh-CN" w:bidi="ar-SA"/>
        </w:rPr>
      </w:pPr>
      <w:bookmarkStart w:id="36" w:name="_Toc1127"/>
      <w:bookmarkStart w:id="37" w:name="_Toc24116_WPSOffice_Level3"/>
      <w:bookmarkStart w:id="38" w:name="_Toc21409"/>
      <w:bookmarkStart w:id="39" w:name="_Toc7753"/>
      <w:bookmarkStart w:id="40" w:name="_Toc1855"/>
      <w:bookmarkStart w:id="41" w:name="_Toc9624_WPSOffice_Level3"/>
      <w:r>
        <w:rPr>
          <w:rFonts w:hint="eastAsia" w:ascii="仿宋" w:hAnsi="仿宋" w:eastAsia="仿宋" w:cs="仿宋"/>
          <w:b/>
          <w:bCs/>
          <w:kern w:val="2"/>
          <w:sz w:val="32"/>
          <w:szCs w:val="28"/>
          <w:lang w:val="en-US" w:eastAsia="zh-CN" w:bidi="ar-SA"/>
        </w:rPr>
        <w:t>4.运营方案</w:t>
      </w:r>
      <w:bookmarkEnd w:id="36"/>
      <w:bookmarkEnd w:id="37"/>
      <w:bookmarkEnd w:id="38"/>
      <w:bookmarkEnd w:id="39"/>
      <w:bookmarkEnd w:id="40"/>
      <w:bookmarkEnd w:id="41"/>
    </w:p>
    <w:p w14:paraId="396C0047">
      <w:pPr>
        <w:keepNext w:val="0"/>
        <w:keepLines w:val="0"/>
        <w:pageBreakBefore w:val="0"/>
        <w:widowControl w:val="0"/>
        <w:numPr>
          <w:ilvl w:val="0"/>
          <w:numId w:val="0"/>
        </w:numPr>
        <w:kinsoku/>
        <w:wordWrap/>
        <w:overflowPunct/>
        <w:topLinePunct w:val="0"/>
        <w:autoSpaceDE/>
        <w:autoSpaceDN/>
        <w:bidi w:val="0"/>
        <w:adjustRightInd/>
        <w:snapToGrid/>
        <w:spacing w:before="0" w:after="0" w:line="360" w:lineRule="auto"/>
        <w:ind w:firstLine="640" w:firstLineChars="200"/>
        <w:textAlignment w:val="auto"/>
        <w:outlineLvl w:val="9"/>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本项目的实施管理工作由</w:t>
      </w:r>
      <w:r>
        <w:rPr>
          <w:rFonts w:hint="eastAsia" w:ascii="仿宋" w:hAnsi="仿宋" w:eastAsia="仿宋" w:cs="仿宋"/>
          <w:sz w:val="32"/>
          <w:szCs w:val="32"/>
          <w:highlight w:val="none"/>
          <w:lang w:val="en-US" w:eastAsia="zh-CN"/>
        </w:rPr>
        <w:t>泸州市住房和城乡建设局</w:t>
      </w:r>
      <w:r>
        <w:rPr>
          <w:rFonts w:hint="eastAsia" w:ascii="仿宋" w:hAnsi="仿宋" w:eastAsia="仿宋" w:cs="仿宋"/>
          <w:sz w:val="32"/>
          <w:szCs w:val="32"/>
          <w:lang w:val="en-US" w:eastAsia="zh-CN"/>
        </w:rPr>
        <w:t>全权负责，项目</w:t>
      </w:r>
      <w:r>
        <w:rPr>
          <w:rFonts w:hint="eastAsia" w:ascii="仿宋" w:hAnsi="仿宋" w:eastAsia="仿宋" w:cs="仿宋"/>
          <w:b w:val="0"/>
          <w:bCs w:val="0"/>
          <w:sz w:val="32"/>
          <w:szCs w:val="32"/>
          <w:lang w:val="en-US" w:eastAsia="zh-CN"/>
        </w:rPr>
        <w:t>的运营、收入实现与归集工作由项目业主泸州市政府投资建设工程管理第一中心负责，</w:t>
      </w:r>
      <w:r>
        <w:rPr>
          <w:rFonts w:hint="eastAsia" w:ascii="仿宋" w:hAnsi="仿宋" w:eastAsia="仿宋" w:cs="仿宋"/>
          <w:sz w:val="32"/>
          <w:szCs w:val="32"/>
          <w:lang w:val="en-US" w:eastAsia="zh-CN"/>
        </w:rPr>
        <w:t>经营收益上交泸州市财政局统一管理，</w:t>
      </w:r>
      <w:r>
        <w:rPr>
          <w:rFonts w:hint="eastAsia" w:ascii="仿宋" w:hAnsi="仿宋" w:eastAsia="仿宋" w:cs="仿宋"/>
          <w:sz w:val="32"/>
          <w:szCs w:val="32"/>
          <w:highlight w:val="none"/>
          <w:lang w:val="en-US" w:eastAsia="zh-CN"/>
        </w:rPr>
        <w:t>泸州市住房和城乡建设局</w:t>
      </w:r>
      <w:r>
        <w:rPr>
          <w:rFonts w:hint="eastAsia" w:ascii="仿宋" w:hAnsi="仿宋" w:eastAsia="仿宋" w:cs="仿宋"/>
          <w:sz w:val="32"/>
          <w:szCs w:val="32"/>
          <w:lang w:val="en-US" w:eastAsia="zh-CN"/>
        </w:rPr>
        <w:t>对项目运营进行监管。</w:t>
      </w:r>
    </w:p>
    <w:p w14:paraId="01A746A3">
      <w:pPr>
        <w:keepNext w:val="0"/>
        <w:keepLines w:val="0"/>
        <w:pageBreakBefore w:val="0"/>
        <w:widowControl w:val="0"/>
        <w:numPr>
          <w:ilvl w:val="0"/>
          <w:numId w:val="0"/>
        </w:numPr>
        <w:kinsoku/>
        <w:wordWrap/>
        <w:overflowPunct/>
        <w:topLinePunct w:val="0"/>
        <w:autoSpaceDE/>
        <w:autoSpaceDN/>
        <w:bidi w:val="0"/>
        <w:adjustRightInd/>
        <w:snapToGrid/>
        <w:spacing w:before="0" w:after="0" w:line="360" w:lineRule="auto"/>
        <w:ind w:firstLine="640" w:firstLineChars="200"/>
        <w:textAlignment w:val="auto"/>
        <w:outlineLvl w:val="9"/>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本项目运营方案包括管理原则、管理方案、财务管理，详见如下：</w:t>
      </w:r>
    </w:p>
    <w:p w14:paraId="35A4D5D0">
      <w:pPr>
        <w:keepNext/>
        <w:keepLines/>
        <w:pageBreakBefore w:val="0"/>
        <w:widowControl w:val="0"/>
        <w:kinsoku/>
        <w:wordWrap/>
        <w:overflowPunct/>
        <w:topLinePunct w:val="0"/>
        <w:autoSpaceDE/>
        <w:autoSpaceDN/>
        <w:bidi w:val="0"/>
        <w:adjustRightInd/>
        <w:snapToGrid/>
        <w:spacing w:before="0" w:beforeLines="0" w:beforeAutospacing="0" w:after="0" w:afterLines="0" w:afterAutospacing="0" w:line="360" w:lineRule="auto"/>
        <w:ind w:left="0" w:leftChars="0" w:firstLine="643" w:firstLineChars="200"/>
        <w:jc w:val="left"/>
        <w:textAlignment w:val="auto"/>
        <w:outlineLvl w:val="3"/>
        <w:rPr>
          <w:rFonts w:hint="eastAsia" w:ascii="仿宋" w:hAnsi="仿宋" w:eastAsia="仿宋" w:cs="仿宋"/>
          <w:b/>
          <w:kern w:val="2"/>
          <w:sz w:val="32"/>
          <w:szCs w:val="32"/>
          <w:lang w:val="en-US" w:eastAsia="zh-CN" w:bidi="ar-SA"/>
        </w:rPr>
      </w:pPr>
      <w:r>
        <w:rPr>
          <w:rFonts w:hint="eastAsia" w:ascii="仿宋" w:hAnsi="仿宋" w:eastAsia="仿宋" w:cs="仿宋"/>
          <w:b/>
          <w:kern w:val="2"/>
          <w:sz w:val="32"/>
          <w:szCs w:val="32"/>
          <w:lang w:val="en-US" w:eastAsia="zh-CN" w:bidi="ar-SA"/>
        </w:rPr>
        <w:t>（1）管理原则</w:t>
      </w:r>
    </w:p>
    <w:p w14:paraId="5A659690">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①运营期资金实行统一管理，由财务单独立帐、核算，资金使用严格按计划进行，并接受上级有关部门的监督和检查。</w:t>
      </w:r>
    </w:p>
    <w:p w14:paraId="1F97FB5E">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②合理安排资金，积极、充分、扎实抓好建设前期的各项工作。</w:t>
      </w:r>
    </w:p>
    <w:p w14:paraId="7534F8C3">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③为了确保运营期项目质量和资金的合理使用，实行以主要负责人全面负责实施和管理的项目法人责任制，严把质量和资金关。</w:t>
      </w:r>
    </w:p>
    <w:p w14:paraId="43618E9D">
      <w:pPr>
        <w:keepNext/>
        <w:keepLines/>
        <w:pageBreakBefore w:val="0"/>
        <w:widowControl w:val="0"/>
        <w:kinsoku/>
        <w:wordWrap/>
        <w:overflowPunct/>
        <w:topLinePunct w:val="0"/>
        <w:autoSpaceDE/>
        <w:autoSpaceDN/>
        <w:bidi w:val="0"/>
        <w:adjustRightInd/>
        <w:snapToGrid/>
        <w:spacing w:before="0" w:beforeLines="0" w:beforeAutospacing="0" w:after="0" w:afterLines="0" w:afterAutospacing="0" w:line="360" w:lineRule="auto"/>
        <w:ind w:left="0" w:leftChars="0" w:firstLine="643" w:firstLineChars="200"/>
        <w:jc w:val="left"/>
        <w:textAlignment w:val="auto"/>
        <w:outlineLvl w:val="3"/>
        <w:rPr>
          <w:rFonts w:hint="eastAsia" w:ascii="仿宋" w:hAnsi="仿宋" w:eastAsia="仿宋" w:cs="仿宋"/>
          <w:b/>
          <w:kern w:val="2"/>
          <w:sz w:val="32"/>
          <w:szCs w:val="32"/>
          <w:lang w:val="en-US" w:eastAsia="zh-CN" w:bidi="ar-SA"/>
        </w:rPr>
      </w:pPr>
      <w:r>
        <w:rPr>
          <w:rFonts w:hint="eastAsia" w:ascii="仿宋" w:hAnsi="仿宋" w:eastAsia="仿宋" w:cs="仿宋"/>
          <w:b/>
          <w:kern w:val="2"/>
          <w:sz w:val="32"/>
          <w:szCs w:val="32"/>
          <w:lang w:val="en-US" w:eastAsia="zh-CN" w:bidi="ar-SA"/>
        </w:rPr>
        <w:t>（2）管理方案</w:t>
      </w:r>
    </w:p>
    <w:p w14:paraId="70C24B48">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Calibri" w:hAnsi="Calibri" w:eastAsia="仿宋" w:cs="Times New Roman"/>
          <w:sz w:val="32"/>
          <w:szCs w:val="32"/>
        </w:rPr>
      </w:pPr>
      <w:r>
        <w:rPr>
          <w:rFonts w:hint="eastAsia" w:ascii="Calibri" w:hAnsi="Calibri" w:eastAsia="仿宋" w:cs="Times New Roman"/>
          <w:sz w:val="32"/>
          <w:szCs w:val="32"/>
          <w:lang w:val="en-US" w:eastAsia="zh-CN"/>
        </w:rPr>
        <w:t>项目单位坚持“勤奋严谨，求实创新，规范有序，团结奉献”的思想理念，贯彻落实科学发展观，积极探索规范化、精细化管理的有效途径。努力强化企业管理，创建现代化管理模式，从细节上规范、约束企业，使企业的管理体制逐步走上科学化的轨道，创造了较好的企业效益和社会效益。为了使精细化管理工作有序开展，成立了精细化管理工作领导小组，一把手全面抓，分管主任具体抓。组成了精细化管理专业队伍，把任务分解到每个岗位，责任落实到每个人。召开专题会议，层层进行动员，形成了全员共同参与、齐抓共管的工作格局。从管理、技术、安全、生产等四个方面细化业务流程和标准，量化考核指标。通过推行精、准的规范和加强细、严的控制，运用科学管理方法和科技手段，全面推进项目规范化管理升级。</w:t>
      </w:r>
    </w:p>
    <w:p w14:paraId="64E7E66F">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Calibri" w:hAnsi="Calibri" w:eastAsia="仿宋" w:cs="Times New Roman"/>
          <w:sz w:val="32"/>
          <w:szCs w:val="32"/>
          <w:lang w:val="en-US" w:eastAsia="zh-CN"/>
        </w:rPr>
      </w:pPr>
      <w:r>
        <w:rPr>
          <w:rFonts w:hint="eastAsia" w:ascii="Calibri" w:hAnsi="Calibri" w:eastAsia="仿宋" w:cs="Times New Roman"/>
          <w:sz w:val="32"/>
          <w:szCs w:val="32"/>
          <w:lang w:val="en-US" w:eastAsia="zh-CN"/>
        </w:rPr>
        <w:t>项目单位认真分析有关单价变化的政策，紧紧把握项目资源优势和销售优势，不断挖掘项目自身的开发潜力，既取得了很好的经济效益，又有效规避市场风险。抓好经营工作，实现互利共赢和取得良好的经济效益。</w:t>
      </w:r>
    </w:p>
    <w:p w14:paraId="1FEF9A90">
      <w:pPr>
        <w:keepNext/>
        <w:keepLines/>
        <w:pageBreakBefore w:val="0"/>
        <w:widowControl w:val="0"/>
        <w:kinsoku/>
        <w:wordWrap/>
        <w:overflowPunct/>
        <w:topLinePunct w:val="0"/>
        <w:autoSpaceDE/>
        <w:autoSpaceDN/>
        <w:bidi w:val="0"/>
        <w:adjustRightInd/>
        <w:snapToGrid/>
        <w:spacing w:before="0" w:beforeLines="0" w:beforeAutospacing="0" w:after="0" w:afterLines="0" w:afterAutospacing="0" w:line="360" w:lineRule="auto"/>
        <w:ind w:left="0" w:leftChars="0" w:firstLine="643" w:firstLineChars="200"/>
        <w:jc w:val="left"/>
        <w:textAlignment w:val="auto"/>
        <w:outlineLvl w:val="3"/>
        <w:rPr>
          <w:rFonts w:hint="eastAsia" w:ascii="仿宋" w:hAnsi="仿宋" w:eastAsia="仿宋" w:cs="仿宋"/>
          <w:b/>
          <w:kern w:val="2"/>
          <w:sz w:val="32"/>
          <w:szCs w:val="32"/>
          <w:lang w:val="en-US" w:eastAsia="zh-CN" w:bidi="ar-SA"/>
        </w:rPr>
      </w:pPr>
      <w:r>
        <w:rPr>
          <w:rFonts w:hint="eastAsia" w:ascii="仿宋" w:hAnsi="仿宋" w:eastAsia="仿宋" w:cs="仿宋"/>
          <w:b/>
          <w:kern w:val="2"/>
          <w:sz w:val="32"/>
          <w:szCs w:val="32"/>
          <w:lang w:val="en-US" w:eastAsia="zh-CN" w:bidi="ar-SA"/>
        </w:rPr>
        <w:t>（3）财务管理</w:t>
      </w:r>
    </w:p>
    <w:p w14:paraId="20A2BB19">
      <w:pPr>
        <w:keepNext w:val="0"/>
        <w:keepLines w:val="0"/>
        <w:pageBreakBefore w:val="0"/>
        <w:widowControl w:val="0"/>
        <w:kinsoku/>
        <w:wordWrap/>
        <w:overflowPunct/>
        <w:topLinePunct w:val="0"/>
        <w:autoSpaceDE/>
        <w:autoSpaceDN/>
        <w:bidi w:val="0"/>
        <w:adjustRightInd/>
        <w:snapToGrid/>
        <w:spacing w:line="360" w:lineRule="auto"/>
        <w:ind w:firstLine="640" w:firstLineChars="200"/>
        <w:textAlignment w:val="auto"/>
        <w:rPr>
          <w:rFonts w:hint="eastAsia" w:ascii="仿宋" w:hAnsi="仿宋" w:eastAsia="仿宋" w:cs="仿宋"/>
          <w:sz w:val="32"/>
          <w:szCs w:val="32"/>
          <w:lang w:val="en-US" w:eastAsia="zh-CN"/>
        </w:rPr>
      </w:pPr>
      <w:r>
        <w:rPr>
          <w:rFonts w:hint="eastAsia" w:ascii="Calibri" w:hAnsi="Calibri" w:eastAsia="仿宋" w:cs="Times New Roman"/>
          <w:sz w:val="32"/>
          <w:szCs w:val="32"/>
          <w:lang w:val="en-US" w:eastAsia="zh-CN"/>
        </w:rPr>
        <w:t>项目单位</w:t>
      </w:r>
      <w:r>
        <w:rPr>
          <w:rFonts w:hint="eastAsia" w:ascii="仿宋" w:hAnsi="仿宋" w:eastAsia="仿宋" w:cs="仿宋"/>
          <w:sz w:val="32"/>
          <w:szCs w:val="32"/>
          <w:lang w:val="en-US" w:eastAsia="zh-CN"/>
        </w:rPr>
        <w:t>根据项目经营、储备企业的业务性质，按照国家有关法律、法规及财务制度，制定了《财务管理制度条款》、《会计核算基础工作规定》、《借款和各项费用开支标准及审批程序》，健全落实了各项规章制度，以规范会计核算行为，提升财务管理水平，保证储备项目运营账账相符、账实相符。</w:t>
      </w:r>
    </w:p>
    <w:p w14:paraId="3C2B1E9A">
      <w:pPr>
        <w:pageBreakBefore w:val="0"/>
        <w:wordWrap/>
        <w:topLinePunct w:val="0"/>
        <w:autoSpaceDE/>
        <w:autoSpaceDN/>
        <w:bidi w:val="0"/>
        <w:spacing w:line="360" w:lineRule="auto"/>
        <w:textAlignment w:val="auto"/>
        <w:rPr>
          <w:rFonts w:hint="eastAsia" w:ascii="仿宋" w:hAnsi="仿宋" w:eastAsia="仿宋" w:cs="仿宋"/>
          <w:sz w:val="32"/>
          <w:szCs w:val="32"/>
          <w:lang w:val="en-US" w:eastAsia="zh-CN"/>
        </w:rPr>
      </w:pPr>
      <w:r>
        <w:rPr>
          <w:rFonts w:hint="eastAsia" w:ascii="Calibri" w:hAnsi="Calibri" w:eastAsia="仿宋" w:cs="Times New Roman"/>
          <w:sz w:val="32"/>
          <w:szCs w:val="32"/>
          <w:lang w:val="en-US" w:eastAsia="zh-CN"/>
        </w:rPr>
        <w:t>项目单位</w:t>
      </w:r>
      <w:r>
        <w:rPr>
          <w:rFonts w:hint="eastAsia" w:ascii="仿宋" w:hAnsi="仿宋" w:eastAsia="仿宋" w:cs="仿宋"/>
          <w:sz w:val="32"/>
          <w:szCs w:val="32"/>
          <w:lang w:val="en-US" w:eastAsia="zh-CN"/>
        </w:rPr>
        <w:t>在项目运营的购、销、调、存各个业务环节，不断加强资金的管理、财政补贴的管理、成本费用的管理以及企业盈亏的管理。做好记账、核算等基础工作，正确、及时、全面、真实地反映企业的经济活动，财产资金变化、成本费用开支和经营成果。通过建立和健全各种手续制度，如实反映资金活动的情况，按期进行财产清查，做到账账相符、账实相符。通过会计信息，不断改善经营管理，促进企业合理使用资金，降低费用水平，提高经济效益。</w:t>
      </w:r>
    </w:p>
    <w:p w14:paraId="5FA8A550">
      <w:pPr>
        <w:pStyle w:val="11"/>
        <w:pageBreakBefore w:val="0"/>
        <w:wordWrap/>
        <w:topLinePunct w:val="0"/>
        <w:autoSpaceDE/>
        <w:autoSpaceDN/>
        <w:bidi w:val="0"/>
        <w:spacing w:line="360" w:lineRule="auto"/>
        <w:textAlignment w:val="auto"/>
        <w:rPr>
          <w:rFonts w:hint="eastAsia"/>
        </w:rPr>
      </w:pPr>
      <w:r>
        <w:rPr>
          <w:rFonts w:hint="eastAsia"/>
        </w:rPr>
        <w:t>（五）公益性论证</w:t>
      </w:r>
    </w:p>
    <w:p w14:paraId="76944004">
      <w:pPr>
        <w:pStyle w:val="11"/>
        <w:pageBreakBefore w:val="0"/>
        <w:wordWrap/>
        <w:topLinePunct w:val="0"/>
        <w:autoSpaceDE/>
        <w:autoSpaceDN/>
        <w:bidi w:val="0"/>
        <w:spacing w:line="360" w:lineRule="auto"/>
        <w:textAlignment w:val="auto"/>
        <w:rPr>
          <w:rFonts w:hint="eastAsia"/>
        </w:rPr>
      </w:pPr>
      <w:r>
        <w:rPr>
          <w:rFonts w:hint="eastAsia"/>
        </w:rPr>
        <w:t>按照《财政部关于试点发展项目收益与融资自求平衡的地方政府专项债券品种的通知》（财预〔2017〕89号）文件有关的要求，结合本地区实际情况，优先选择党中央、国务院和省委、省政府确定的重大战略领域及重点项目发行项目收益专项债券，重点考虑在重大区域发展以及乡村振兴、脱贫攻坚、生态环保、水电气热等公用事业、公立医院、公立学校、交通、水利、文化旅游、工业园区、市政基础设施等领域选择符合条件的新建、在建和改建项目。</w:t>
      </w:r>
    </w:p>
    <w:p w14:paraId="34CAD678">
      <w:pPr>
        <w:pStyle w:val="11"/>
        <w:pageBreakBefore w:val="0"/>
        <w:wordWrap/>
        <w:topLinePunct w:val="0"/>
        <w:autoSpaceDE/>
        <w:autoSpaceDN/>
        <w:bidi w:val="0"/>
        <w:spacing w:line="360" w:lineRule="auto"/>
        <w:textAlignment w:val="auto"/>
        <w:rPr>
          <w:rFonts w:hint="eastAsia"/>
        </w:rPr>
      </w:pPr>
      <w:r>
        <w:rPr>
          <w:rFonts w:hint="eastAsia"/>
        </w:rPr>
        <w:t>本项目满足《财政部发展改革委人民银行银监会关于贯彻国务院关于加强地方政府融资平台公司管理有关问题的通知相关事项的通知》（财预〔2010〕412号）规定，“公益性项目”是指为社会公共利益服务、不以盈利为目的，且不能或不宜通过市场化方式运作的政府投资项目，如市政道路、公共交通等基础设施项目，以及公共卫生、农林水利、基础科研、义务教育、保障性安居工程等基本建设项目。</w:t>
      </w:r>
    </w:p>
    <w:p w14:paraId="22313A3F">
      <w:pPr>
        <w:pStyle w:val="11"/>
        <w:pageBreakBefore w:val="0"/>
        <w:wordWrap/>
        <w:topLinePunct w:val="0"/>
        <w:autoSpaceDE/>
        <w:autoSpaceDN/>
        <w:bidi w:val="0"/>
        <w:spacing w:line="360" w:lineRule="auto"/>
        <w:textAlignment w:val="auto"/>
        <w:rPr>
          <w:rFonts w:hint="eastAsia"/>
        </w:rPr>
      </w:pPr>
      <w:r>
        <w:rPr>
          <w:rFonts w:hint="eastAsia"/>
        </w:rPr>
        <w:t>随着社会的不断进步，大多数的老旧小区已经落后于时代的潮流。近年来，我国城市化进程加快，导致老旧小区没有配套的设施，同时存在着严重的设施老化等问题，这直接影响到居民的生活质量和美好的城市建设。我国各大城市城市建设的重要环节就是老旧城区改造，老旧城区改造工作关系城市内部广大人民群众的基本住房利益，能够从源头上解决老城区居民的生活难题，改善老城区群众的生活状况，是我国实现全面小康社会的要求。目前，我国越来越重视老旧小区的改造工作，《中共中央国务院关于进一步加强城市规划建设管理的若干意见》中明确提出：有序推进老旧小区住宅小区的综合治理。</w:t>
      </w:r>
    </w:p>
    <w:p w14:paraId="151FBD07">
      <w:pPr>
        <w:pStyle w:val="11"/>
        <w:pageBreakBefore w:val="0"/>
        <w:wordWrap/>
        <w:topLinePunct w:val="0"/>
        <w:autoSpaceDE/>
        <w:autoSpaceDN/>
        <w:bidi w:val="0"/>
        <w:spacing w:line="360" w:lineRule="auto"/>
        <w:textAlignment w:val="auto"/>
        <w:rPr>
          <w:rFonts w:hint="eastAsia"/>
        </w:rPr>
      </w:pPr>
      <w:r>
        <w:rPr>
          <w:rFonts w:hint="eastAsia"/>
        </w:rPr>
        <w:t>本项目建设是实现科学发展、和谐发展，统筹泸州市城乡和区域发展，注重区域中、低收入困难群众的基本生活保障。实施大山坪街道及红星街道片区老旧小区改造，将使相当一部分群众享受改革发展的成果，不仅大大改善群众的居住条件，还将推动住房制度改革的深化，进一步完善社会保障体系，实现社会公平、促进社会和谐。</w:t>
      </w:r>
    </w:p>
    <w:p w14:paraId="2ECF3627">
      <w:pPr>
        <w:pStyle w:val="11"/>
        <w:pageBreakBefore w:val="0"/>
        <w:wordWrap/>
        <w:topLinePunct w:val="0"/>
        <w:autoSpaceDE/>
        <w:autoSpaceDN/>
        <w:bidi w:val="0"/>
        <w:spacing w:line="360" w:lineRule="auto"/>
        <w:textAlignment w:val="auto"/>
        <w:rPr>
          <w:rFonts w:hint="eastAsia"/>
        </w:rPr>
      </w:pPr>
      <w:r>
        <w:rPr>
          <w:rFonts w:hint="eastAsia"/>
        </w:rPr>
        <w:t>随着城市的发展，小区环境优美、物业服务全面、功能齐全、设施先进的新住宅社区如雨后春笋般涌现出大批量，给居民带来强烈的视觉冲击和心理感受，已成为城市建设和管理的重要窗口。相比之下，老旧小区就显得黯然失色。老旧小区不论是安全还是功能都已不再完整，因为时间长久的原因，这些旧设备旧设施给居民带来的安全隐患更是越来越大。</w:t>
      </w:r>
    </w:p>
    <w:p w14:paraId="3426CEBF">
      <w:pPr>
        <w:pStyle w:val="11"/>
        <w:pageBreakBefore w:val="0"/>
        <w:wordWrap/>
        <w:topLinePunct w:val="0"/>
        <w:autoSpaceDE/>
        <w:autoSpaceDN/>
        <w:bidi w:val="0"/>
        <w:spacing w:line="360" w:lineRule="auto"/>
        <w:textAlignment w:val="auto"/>
        <w:rPr>
          <w:rFonts w:hint="eastAsia"/>
        </w:rPr>
      </w:pPr>
      <w:r>
        <w:rPr>
          <w:rFonts w:hint="eastAsia"/>
        </w:rPr>
        <w:t>因此，泸州市城南片区老旧小区改造及地下管网更新改造项目的公益性极强，是一项关乎百姓基本生活的重要改造工程，其中包括改造小区内道路；改造小区连接线道路；改造小区配套水和气管网；增强小区绿化；适当配置景观小品、健身娱乐设施等方面的改造。改造不仅能满足老百姓日常功能的需要，从居住区大多数人的利益出发，结合旧居住小区本身具有的特点，通过改造提高旧居住区的功能和整体效应，以延续其历史文脉，展现个别特色，打造宜居住区为目标，提升城市整体形象。坚持老旧居住小区改造与城市总体发展相协调，改造设计与改造管理相配合的原则。兼顾群众利益，结合泸州市老旧小区现存问题，推进其改造的进程，以促进老居住小区经济社会健康、协调、快速发展。</w:t>
      </w:r>
    </w:p>
    <w:p w14:paraId="6C09C618">
      <w:pPr>
        <w:pStyle w:val="11"/>
        <w:pageBreakBefore w:val="0"/>
        <w:wordWrap/>
        <w:topLinePunct w:val="0"/>
        <w:autoSpaceDE/>
        <w:autoSpaceDN/>
        <w:bidi w:val="0"/>
        <w:spacing w:line="360" w:lineRule="auto"/>
        <w:textAlignment w:val="auto"/>
        <w:rPr>
          <w:rFonts w:hint="eastAsia"/>
        </w:rPr>
      </w:pPr>
      <w:r>
        <w:rPr>
          <w:rFonts w:hint="eastAsia"/>
        </w:rPr>
        <w:t>综上所述，本项目具有公益性。</w:t>
      </w:r>
    </w:p>
    <w:p w14:paraId="5CB0B24C">
      <w:pPr>
        <w:keepNext/>
        <w:keepLines/>
        <w:pageBreakBefore w:val="0"/>
        <w:widowControl w:val="0"/>
        <w:tabs>
          <w:tab w:val="left" w:pos="0"/>
          <w:tab w:val="left" w:pos="3285"/>
        </w:tabs>
        <w:kinsoku/>
        <w:wordWrap/>
        <w:overflowPunct/>
        <w:topLinePunct w:val="0"/>
        <w:autoSpaceDE/>
        <w:autoSpaceDN/>
        <w:bidi w:val="0"/>
        <w:adjustRightInd/>
        <w:snapToGrid/>
        <w:spacing w:before="157" w:beforeLines="50" w:beforeAutospacing="0" w:after="157" w:afterLines="50" w:afterAutospacing="0" w:line="360" w:lineRule="auto"/>
        <w:jc w:val="both"/>
        <w:textAlignment w:val="auto"/>
        <w:outlineLvl w:val="0"/>
        <w:rPr>
          <w:rFonts w:hint="eastAsia" w:ascii="Calibri" w:hAnsi="Calibri" w:eastAsia="宋体" w:cs="Times New Roman"/>
          <w:b/>
          <w:bCs/>
          <w:kern w:val="44"/>
          <w:sz w:val="32"/>
          <w:szCs w:val="28"/>
          <w:lang w:val="en-US" w:eastAsia="zh-CN" w:bidi="ar-SA"/>
        </w:rPr>
      </w:pPr>
      <w:bookmarkStart w:id="42" w:name="_Toc15137"/>
      <w:bookmarkStart w:id="43" w:name="_Toc10971"/>
      <w:bookmarkStart w:id="44" w:name="_Toc9330"/>
      <w:bookmarkStart w:id="45" w:name="_Toc14434"/>
      <w:bookmarkStart w:id="46" w:name="_Toc26096_WPSOffice_Level1"/>
      <w:bookmarkStart w:id="47" w:name="_Toc1220_WPSOffice_Level1"/>
      <w:r>
        <w:rPr>
          <w:rFonts w:hint="eastAsia" w:ascii="Calibri" w:hAnsi="Calibri" w:eastAsia="宋体" w:cs="Times New Roman"/>
          <w:b/>
          <w:bCs/>
          <w:kern w:val="44"/>
          <w:sz w:val="32"/>
          <w:szCs w:val="28"/>
          <w:lang w:val="en-US" w:eastAsia="zh-CN" w:bidi="ar-SA"/>
        </w:rPr>
        <w:t>二、经济社会效益分析</w:t>
      </w:r>
      <w:bookmarkEnd w:id="42"/>
      <w:bookmarkEnd w:id="43"/>
      <w:bookmarkEnd w:id="44"/>
      <w:bookmarkEnd w:id="45"/>
      <w:bookmarkEnd w:id="46"/>
      <w:bookmarkEnd w:id="47"/>
      <w:bookmarkStart w:id="48" w:name="_Toc28917"/>
      <w:bookmarkStart w:id="49" w:name="_Toc7279"/>
      <w:bookmarkStart w:id="50" w:name="_Toc17134"/>
      <w:bookmarkStart w:id="51" w:name="_Toc9186"/>
    </w:p>
    <w:p w14:paraId="47C73F0F">
      <w:pPr>
        <w:keepNext w:val="0"/>
        <w:keepLines w:val="0"/>
        <w:pageBreakBefore w:val="0"/>
        <w:widowControl w:val="0"/>
        <w:numPr>
          <w:ilvl w:val="1"/>
          <w:numId w:val="0"/>
        </w:numPr>
        <w:tabs>
          <w:tab w:val="left" w:pos="0"/>
          <w:tab w:val="left" w:pos="3285"/>
        </w:tabs>
        <w:kinsoku/>
        <w:wordWrap/>
        <w:overflowPunct/>
        <w:topLinePunct w:val="0"/>
        <w:autoSpaceDE/>
        <w:autoSpaceDN/>
        <w:bidi w:val="0"/>
        <w:adjustRightInd/>
        <w:snapToGrid/>
        <w:spacing w:before="157" w:beforeLines="50" w:beforeAutospacing="0" w:after="157" w:afterLines="50" w:afterAutospacing="0" w:line="360" w:lineRule="auto"/>
        <w:jc w:val="both"/>
        <w:textAlignment w:val="auto"/>
        <w:outlineLvl w:val="1"/>
        <w:rPr>
          <w:rFonts w:hint="eastAsia" w:ascii="楷体" w:hAnsi="楷体" w:eastAsia="楷体" w:cs="楷体"/>
          <w:b/>
          <w:bCs/>
          <w:kern w:val="2"/>
          <w:sz w:val="32"/>
          <w:szCs w:val="28"/>
          <w:lang w:val="en-US" w:eastAsia="zh-CN" w:bidi="ar-SA"/>
        </w:rPr>
      </w:pPr>
      <w:bookmarkStart w:id="52" w:name="_Toc2240"/>
      <w:bookmarkStart w:id="53" w:name="_Toc31750"/>
      <w:bookmarkStart w:id="54" w:name="_Toc15053"/>
      <w:bookmarkStart w:id="55" w:name="_Toc7721"/>
      <w:bookmarkStart w:id="56" w:name="_Toc21218"/>
      <w:bookmarkStart w:id="57" w:name="_Toc3135_WPSOffice_Level2"/>
      <w:bookmarkStart w:id="58" w:name="_Toc8916"/>
      <w:bookmarkStart w:id="59" w:name="_Toc6623"/>
      <w:bookmarkStart w:id="60" w:name="_Toc3500_WPSOffice_Level2"/>
      <w:r>
        <w:rPr>
          <w:rFonts w:hint="eastAsia" w:ascii="楷体" w:hAnsi="楷体" w:eastAsia="楷体" w:cs="楷体"/>
          <w:b/>
          <w:bCs/>
          <w:kern w:val="2"/>
          <w:sz w:val="32"/>
          <w:szCs w:val="28"/>
          <w:lang w:val="en-US" w:eastAsia="zh-CN" w:bidi="ar-SA"/>
        </w:rPr>
        <w:t>（一）经济效益</w:t>
      </w:r>
      <w:bookmarkEnd w:id="48"/>
      <w:bookmarkEnd w:id="49"/>
      <w:bookmarkEnd w:id="50"/>
      <w:bookmarkEnd w:id="51"/>
      <w:bookmarkEnd w:id="52"/>
      <w:bookmarkEnd w:id="53"/>
      <w:bookmarkEnd w:id="54"/>
      <w:bookmarkEnd w:id="55"/>
      <w:bookmarkEnd w:id="56"/>
      <w:bookmarkEnd w:id="57"/>
      <w:bookmarkEnd w:id="58"/>
      <w:bookmarkEnd w:id="59"/>
      <w:bookmarkEnd w:id="60"/>
    </w:p>
    <w:p w14:paraId="5AA8943F">
      <w:pPr>
        <w:keepNext/>
        <w:keepLines/>
        <w:pageBreakBefore w:val="0"/>
        <w:widowControl/>
        <w:kinsoku/>
        <w:wordWrap/>
        <w:overflowPunct/>
        <w:topLinePunct w:val="0"/>
        <w:autoSpaceDE/>
        <w:autoSpaceDN/>
        <w:bidi w:val="0"/>
        <w:adjustRightInd w:val="0"/>
        <w:snapToGrid/>
        <w:spacing w:before="10" w:after="10" w:line="360" w:lineRule="auto"/>
        <w:ind w:left="0" w:leftChars="0" w:firstLine="643" w:firstLineChars="200"/>
        <w:jc w:val="both"/>
        <w:textAlignment w:val="auto"/>
        <w:outlineLvl w:val="2"/>
        <w:rPr>
          <w:rFonts w:hint="eastAsia" w:ascii="仿宋" w:hAnsi="仿宋" w:eastAsia="仿宋" w:cs="仿宋"/>
          <w:b/>
          <w:bCs/>
          <w:kern w:val="2"/>
          <w:sz w:val="32"/>
          <w:szCs w:val="32"/>
          <w:lang w:val="en-US" w:eastAsia="zh-CN" w:bidi="ar-SA"/>
        </w:rPr>
      </w:pPr>
      <w:bookmarkStart w:id="61" w:name="_Toc32388"/>
      <w:bookmarkStart w:id="62" w:name="_Toc6498_WPSOffice_Level3"/>
      <w:bookmarkStart w:id="63" w:name="_Toc8166"/>
      <w:bookmarkStart w:id="64" w:name="_Toc25557_WPSOffice_Level3"/>
      <w:r>
        <w:rPr>
          <w:rFonts w:hint="eastAsia" w:ascii="仿宋" w:hAnsi="仿宋" w:eastAsia="仿宋" w:cs="仿宋"/>
          <w:b/>
          <w:bCs/>
          <w:kern w:val="2"/>
          <w:sz w:val="32"/>
          <w:szCs w:val="32"/>
          <w:lang w:val="en-US" w:eastAsia="zh-CN" w:bidi="ar-SA"/>
        </w:rPr>
        <w:t>1.推进老旧小区改造能扩大内需拉动消费</w:t>
      </w:r>
      <w:bookmarkEnd w:id="61"/>
      <w:bookmarkEnd w:id="62"/>
      <w:bookmarkEnd w:id="63"/>
      <w:bookmarkEnd w:id="64"/>
    </w:p>
    <w:p w14:paraId="08DD30EA">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both"/>
        <w:textAlignment w:val="auto"/>
        <w:rPr>
          <w:rFonts w:hint="eastAsia" w:ascii="仿宋" w:hAnsi="仿宋" w:eastAsia="仿宋" w:cs="仿宋"/>
          <w:i w:val="0"/>
          <w:caps w:val="0"/>
          <w:color w:val="333333"/>
          <w:spacing w:val="0"/>
          <w:kern w:val="2"/>
          <w:sz w:val="32"/>
          <w:szCs w:val="32"/>
          <w:shd w:val="clear" w:fill="FFFFFF"/>
          <w:lang w:val="en-US" w:eastAsia="zh-CN" w:bidi="ar-SA"/>
        </w:rPr>
      </w:pPr>
      <w:r>
        <w:rPr>
          <w:rFonts w:hint="eastAsia" w:ascii="仿宋" w:hAnsi="仿宋" w:eastAsia="仿宋" w:cs="仿宋"/>
          <w:i w:val="0"/>
          <w:caps w:val="0"/>
          <w:color w:val="333333"/>
          <w:spacing w:val="0"/>
          <w:kern w:val="2"/>
          <w:sz w:val="32"/>
          <w:szCs w:val="32"/>
          <w:shd w:val="clear" w:fill="FFFFFF"/>
          <w:lang w:val="en-US" w:eastAsia="zh-CN" w:bidi="ar-SA"/>
        </w:rPr>
        <w:t>今年以来，新冠肺炎疫情的全球蔓延，将导致世界经济增长疲软，疫情的不确定性同样会影响到国内经济，需要采取扩大内需、挖掘市场消费潜力等强有力的对冲政策，从而起到“稳增长”效果。老旧小区改造短期内可以快速带动投资增量，扩大内需，拉动消费，可以成为疫情过后拉动经济的新动能。</w:t>
      </w:r>
    </w:p>
    <w:p w14:paraId="7E0129C5">
      <w:pPr>
        <w:keepNext/>
        <w:keepLines/>
        <w:pageBreakBefore w:val="0"/>
        <w:widowControl/>
        <w:kinsoku/>
        <w:wordWrap/>
        <w:overflowPunct/>
        <w:topLinePunct w:val="0"/>
        <w:autoSpaceDE/>
        <w:autoSpaceDN/>
        <w:bidi w:val="0"/>
        <w:adjustRightInd w:val="0"/>
        <w:snapToGrid/>
        <w:spacing w:before="10" w:after="10" w:line="360" w:lineRule="auto"/>
        <w:ind w:left="0" w:leftChars="0" w:firstLine="643" w:firstLineChars="200"/>
        <w:jc w:val="both"/>
        <w:textAlignment w:val="auto"/>
        <w:outlineLvl w:val="2"/>
        <w:rPr>
          <w:rFonts w:hint="default" w:ascii="仿宋" w:hAnsi="仿宋" w:eastAsia="仿宋" w:cs="仿宋"/>
          <w:b/>
          <w:bCs/>
          <w:kern w:val="2"/>
          <w:sz w:val="32"/>
          <w:szCs w:val="32"/>
          <w:lang w:val="en-US" w:eastAsia="zh-CN" w:bidi="ar-SA"/>
        </w:rPr>
      </w:pPr>
      <w:bookmarkStart w:id="65" w:name="_Toc12149"/>
      <w:bookmarkStart w:id="66" w:name="_Toc24326_WPSOffice_Level3"/>
      <w:bookmarkStart w:id="67" w:name="_Toc22692_WPSOffice_Level3"/>
      <w:bookmarkStart w:id="68" w:name="_Toc32083"/>
      <w:r>
        <w:rPr>
          <w:rFonts w:hint="eastAsia" w:ascii="仿宋" w:hAnsi="仿宋" w:eastAsia="仿宋" w:cs="仿宋"/>
          <w:b/>
          <w:bCs/>
          <w:kern w:val="2"/>
          <w:sz w:val="32"/>
          <w:szCs w:val="32"/>
          <w:lang w:val="en-US" w:eastAsia="zh-CN" w:bidi="ar-SA"/>
        </w:rPr>
        <w:t>2.老旧小区改造能盘活资源向需求和就业端转化</w:t>
      </w:r>
      <w:bookmarkEnd w:id="65"/>
      <w:bookmarkEnd w:id="66"/>
      <w:bookmarkEnd w:id="67"/>
      <w:bookmarkEnd w:id="68"/>
    </w:p>
    <w:p w14:paraId="4B102FB7">
      <w:pPr>
        <w:keepNext w:val="0"/>
        <w:keepLines w:val="0"/>
        <w:pageBreakBefore w:val="0"/>
        <w:widowControl w:val="0"/>
        <w:kinsoku/>
        <w:wordWrap/>
        <w:overflowPunct/>
        <w:topLinePunct w:val="0"/>
        <w:autoSpaceDE/>
        <w:autoSpaceDN/>
        <w:bidi w:val="0"/>
        <w:adjustRightInd/>
        <w:snapToGrid/>
        <w:spacing w:before="0" w:after="0" w:line="360" w:lineRule="auto"/>
        <w:ind w:firstLine="640" w:firstLineChars="200"/>
        <w:textAlignment w:val="auto"/>
        <w:rPr>
          <w:rFonts w:hint="eastAsia" w:ascii="仿宋" w:hAnsi="仿宋" w:eastAsia="仿宋" w:cs="仿宋"/>
          <w:i w:val="0"/>
          <w:caps w:val="0"/>
          <w:color w:val="333333"/>
          <w:spacing w:val="0"/>
          <w:sz w:val="32"/>
          <w:szCs w:val="32"/>
          <w:shd w:val="clear" w:fill="FFFFFF"/>
        </w:rPr>
      </w:pPr>
      <w:r>
        <w:rPr>
          <w:rFonts w:hint="eastAsia" w:ascii="仿宋" w:hAnsi="仿宋" w:eastAsia="仿宋" w:cs="仿宋"/>
          <w:i w:val="0"/>
          <w:caps w:val="0"/>
          <w:color w:val="333333"/>
          <w:spacing w:val="0"/>
          <w:sz w:val="32"/>
          <w:szCs w:val="32"/>
          <w:shd w:val="clear" w:fill="FFFFFF"/>
        </w:rPr>
        <w:t>城镇老旧小区改造，是中央推动的重大民生工程和发展工程。对于逆周期促进经济增长、促进居民居住条件改善、增强社区治理服务能力具有重大的经济意义。促进盘活老旧小区及周边资源向需求和就业端转化，增强社区服务和治理能力。短期内可以迅速有效地扩大内需，促进就业，提振经济。长期来看，是补短板、强弱项、惠民生，提升</w:t>
      </w:r>
      <w:r>
        <w:rPr>
          <w:rFonts w:hint="eastAsia" w:ascii="仿宋" w:hAnsi="仿宋" w:eastAsia="仿宋" w:cs="仿宋"/>
          <w:i w:val="0"/>
          <w:caps w:val="0"/>
          <w:color w:val="333333"/>
          <w:spacing w:val="0"/>
          <w:sz w:val="32"/>
          <w:szCs w:val="32"/>
          <w:shd w:val="clear" w:fill="FFFFFF"/>
          <w:lang w:val="en-US" w:eastAsia="zh-CN"/>
        </w:rPr>
        <w:t>泸州市</w:t>
      </w:r>
      <w:r>
        <w:rPr>
          <w:rFonts w:hint="eastAsia" w:ascii="仿宋" w:hAnsi="仿宋" w:eastAsia="仿宋" w:cs="仿宋"/>
          <w:i w:val="0"/>
          <w:caps w:val="0"/>
          <w:color w:val="333333"/>
          <w:spacing w:val="0"/>
          <w:sz w:val="32"/>
          <w:szCs w:val="32"/>
          <w:shd w:val="clear" w:fill="FFFFFF"/>
        </w:rPr>
        <w:t>社会治理水平和治理能力的重要举措，应得到高度重视，多措并举，提质提速，促进各地有序推进、稳步落实老旧小区改造工程。</w:t>
      </w:r>
    </w:p>
    <w:p w14:paraId="04C1F881">
      <w:pPr>
        <w:keepNext w:val="0"/>
        <w:keepLines w:val="0"/>
        <w:pageBreakBefore w:val="0"/>
        <w:widowControl w:val="0"/>
        <w:kinsoku/>
        <w:wordWrap/>
        <w:overflowPunct/>
        <w:topLinePunct w:val="0"/>
        <w:autoSpaceDE/>
        <w:autoSpaceDN/>
        <w:bidi w:val="0"/>
        <w:adjustRightInd/>
        <w:snapToGrid/>
        <w:spacing w:before="0" w:after="0" w:line="360" w:lineRule="auto"/>
        <w:ind w:firstLine="640" w:firstLineChars="200"/>
        <w:textAlignment w:val="auto"/>
        <w:rPr>
          <w:rFonts w:hint="eastAsia" w:ascii="仿宋" w:hAnsi="仿宋" w:eastAsia="仿宋" w:cs="仿宋"/>
          <w:sz w:val="32"/>
          <w:szCs w:val="32"/>
          <w:highlight w:val="none"/>
          <w:lang w:val="en-US" w:eastAsia="zh-CN"/>
        </w:rPr>
      </w:pPr>
      <w:r>
        <w:rPr>
          <w:rFonts w:hint="eastAsia" w:ascii="仿宋" w:hAnsi="仿宋" w:eastAsia="仿宋" w:cs="仿宋"/>
          <w:sz w:val="32"/>
          <w:szCs w:val="32"/>
          <w:highlight w:val="none"/>
          <w:lang w:val="en-US" w:eastAsia="zh-CN"/>
        </w:rPr>
        <w:t>此外，</w:t>
      </w:r>
      <w:r>
        <w:rPr>
          <w:rFonts w:hint="eastAsia" w:ascii="仿宋" w:hAnsi="仿宋" w:eastAsia="仿宋" w:cs="仿宋"/>
          <w:sz w:val="32"/>
          <w:szCs w:val="32"/>
          <w:highlight w:val="none"/>
          <w:lang w:val="en-US"/>
        </w:rPr>
        <w:t>政府专项债到期日累计</w:t>
      </w:r>
      <w:r>
        <w:rPr>
          <w:rFonts w:hint="eastAsia" w:ascii="仿宋" w:hAnsi="仿宋" w:eastAsia="仿宋" w:cs="仿宋"/>
          <w:sz w:val="32"/>
          <w:szCs w:val="32"/>
          <w:highlight w:val="none"/>
          <w:lang w:val="en-US" w:eastAsia="zh-CN"/>
        </w:rPr>
        <w:t>实现</w:t>
      </w:r>
      <w:r>
        <w:rPr>
          <w:rFonts w:hint="eastAsia" w:ascii="仿宋" w:hAnsi="仿宋" w:eastAsia="仿宋" w:cs="仿宋"/>
          <w:sz w:val="32"/>
          <w:szCs w:val="32"/>
          <w:highlight w:val="none"/>
          <w:lang w:val="en-US"/>
        </w:rPr>
        <w:t>不含税收入为</w:t>
      </w:r>
      <w:r>
        <w:rPr>
          <w:rFonts w:hint="eastAsia" w:ascii="仿宋" w:hAnsi="仿宋" w:eastAsia="仿宋" w:cs="仿宋"/>
          <w:sz w:val="32"/>
          <w:szCs w:val="32"/>
          <w:highlight w:val="none"/>
          <w:lang w:val="en-US" w:eastAsia="zh-CN"/>
        </w:rPr>
        <w:t>94,912.60</w:t>
      </w:r>
      <w:r>
        <w:rPr>
          <w:rFonts w:hint="eastAsia" w:ascii="仿宋" w:hAnsi="仿宋" w:eastAsia="仿宋" w:cs="仿宋"/>
          <w:sz w:val="32"/>
          <w:szCs w:val="32"/>
          <w:highlight w:val="none"/>
          <w:lang w:val="en-US"/>
        </w:rPr>
        <w:t>万元，扣除项目相关成本费用后项目净收益为</w:t>
      </w:r>
      <w:r>
        <w:rPr>
          <w:rFonts w:hint="eastAsia" w:ascii="仿宋" w:hAnsi="仿宋" w:eastAsia="仿宋" w:cs="仿宋"/>
          <w:sz w:val="32"/>
          <w:szCs w:val="32"/>
          <w:highlight w:val="none"/>
          <w:lang w:val="en-US" w:eastAsia="zh-CN"/>
        </w:rPr>
        <w:t>76,061.92</w:t>
      </w:r>
      <w:r>
        <w:rPr>
          <w:rFonts w:hint="eastAsia" w:ascii="仿宋" w:hAnsi="仿宋" w:eastAsia="仿宋" w:cs="仿宋"/>
          <w:sz w:val="32"/>
          <w:szCs w:val="32"/>
          <w:highlight w:val="none"/>
          <w:lang w:val="en-US"/>
        </w:rPr>
        <w:t>万元，项目融资本息总额为69,</w:t>
      </w:r>
      <w:r>
        <w:rPr>
          <w:rFonts w:hint="eastAsia" w:ascii="仿宋" w:hAnsi="仿宋" w:eastAsia="仿宋" w:cs="仿宋"/>
          <w:sz w:val="32"/>
          <w:szCs w:val="32"/>
          <w:highlight w:val="none"/>
          <w:lang w:val="en-US" w:eastAsia="zh-CN"/>
        </w:rPr>
        <w:t>73</w:t>
      </w:r>
      <w:r>
        <w:rPr>
          <w:rFonts w:hint="eastAsia" w:ascii="仿宋" w:hAnsi="仿宋" w:eastAsia="仿宋" w:cs="仿宋"/>
          <w:sz w:val="32"/>
          <w:szCs w:val="32"/>
          <w:highlight w:val="none"/>
          <w:lang w:val="en-US"/>
        </w:rPr>
        <w:t>0.00万元，项目净收益是融资本息总额的1.</w:t>
      </w:r>
      <w:r>
        <w:rPr>
          <w:rFonts w:hint="eastAsia" w:ascii="仿宋" w:hAnsi="仿宋" w:eastAsia="仿宋" w:cs="仿宋"/>
          <w:sz w:val="32"/>
          <w:szCs w:val="32"/>
          <w:highlight w:val="none"/>
          <w:lang w:val="en-US" w:eastAsia="zh-CN"/>
        </w:rPr>
        <w:t>09</w:t>
      </w:r>
      <w:r>
        <w:rPr>
          <w:rFonts w:hint="eastAsia" w:ascii="仿宋" w:hAnsi="仿宋" w:eastAsia="仿宋" w:cs="仿宋"/>
          <w:sz w:val="32"/>
          <w:szCs w:val="32"/>
          <w:highlight w:val="none"/>
          <w:lang w:val="en-US"/>
        </w:rPr>
        <w:t>倍</w:t>
      </w:r>
      <w:r>
        <w:rPr>
          <w:rFonts w:hint="eastAsia" w:ascii="仿宋" w:hAnsi="仿宋" w:eastAsia="仿宋" w:cs="仿宋"/>
          <w:sz w:val="32"/>
          <w:szCs w:val="32"/>
          <w:highlight w:val="none"/>
          <w:lang w:val="en-US" w:eastAsia="zh-CN"/>
        </w:rPr>
        <w:t>。</w:t>
      </w:r>
    </w:p>
    <w:p w14:paraId="3271E193">
      <w:pPr>
        <w:keepNext w:val="0"/>
        <w:keepLines w:val="0"/>
        <w:pageBreakBefore w:val="0"/>
        <w:widowControl w:val="0"/>
        <w:kinsoku/>
        <w:wordWrap/>
        <w:overflowPunct/>
        <w:topLinePunct w:val="0"/>
        <w:autoSpaceDE/>
        <w:autoSpaceDN/>
        <w:bidi w:val="0"/>
        <w:adjustRightInd/>
        <w:snapToGrid/>
        <w:spacing w:before="0" w:after="0" w:line="360" w:lineRule="auto"/>
        <w:ind w:firstLine="640" w:firstLineChars="200"/>
        <w:textAlignment w:val="auto"/>
        <w:rPr>
          <w:rFonts w:hint="eastAsia" w:ascii="仿宋" w:hAnsi="仿宋" w:eastAsia="仿宋" w:cs="仿宋"/>
          <w:sz w:val="32"/>
          <w:szCs w:val="32"/>
          <w:highlight w:val="none"/>
          <w:lang w:val="en-US" w:eastAsia="zh-CN"/>
        </w:rPr>
      </w:pPr>
      <w:r>
        <w:rPr>
          <w:rFonts w:hint="eastAsia" w:ascii="仿宋" w:hAnsi="仿宋" w:eastAsia="仿宋" w:cs="仿宋"/>
          <w:sz w:val="32"/>
          <w:szCs w:val="32"/>
          <w:highlight w:val="none"/>
          <w:lang w:val="en-US" w:eastAsia="zh-CN"/>
        </w:rPr>
        <w:t>因此，本项目具有良好的经济效益，能实现收益与融资自求平衡。</w:t>
      </w:r>
    </w:p>
    <w:p w14:paraId="4F5AC95C">
      <w:pPr>
        <w:keepNext w:val="0"/>
        <w:keepLines w:val="0"/>
        <w:pageBreakBefore w:val="0"/>
        <w:widowControl w:val="0"/>
        <w:numPr>
          <w:ilvl w:val="0"/>
          <w:numId w:val="3"/>
        </w:numPr>
        <w:tabs>
          <w:tab w:val="left" w:pos="0"/>
          <w:tab w:val="left" w:pos="3285"/>
        </w:tabs>
        <w:kinsoku/>
        <w:wordWrap/>
        <w:overflowPunct/>
        <w:topLinePunct w:val="0"/>
        <w:autoSpaceDE/>
        <w:autoSpaceDN/>
        <w:bidi w:val="0"/>
        <w:adjustRightInd/>
        <w:snapToGrid/>
        <w:spacing w:before="157" w:beforeLines="50" w:beforeAutospacing="0" w:after="157" w:afterLines="50" w:afterAutospacing="0" w:line="360" w:lineRule="auto"/>
        <w:jc w:val="both"/>
        <w:textAlignment w:val="auto"/>
        <w:outlineLvl w:val="1"/>
        <w:rPr>
          <w:rFonts w:hint="eastAsia" w:ascii="楷体" w:hAnsi="楷体" w:eastAsia="楷体" w:cs="楷体"/>
          <w:b/>
          <w:bCs/>
          <w:kern w:val="2"/>
          <w:sz w:val="32"/>
          <w:szCs w:val="28"/>
          <w:lang w:val="en-US" w:eastAsia="zh-CN" w:bidi="ar-SA"/>
        </w:rPr>
      </w:pPr>
      <w:bookmarkStart w:id="69" w:name="_Toc23896_WPSOffice_Level2"/>
      <w:bookmarkStart w:id="70" w:name="_Toc21781"/>
      <w:bookmarkStart w:id="71" w:name="_Toc11886_WPSOffice_Level2"/>
      <w:bookmarkStart w:id="72" w:name="_Toc11035"/>
      <w:bookmarkStart w:id="73" w:name="_Toc21333"/>
      <w:bookmarkStart w:id="74" w:name="_Toc19098"/>
      <w:r>
        <w:rPr>
          <w:rFonts w:hint="eastAsia" w:ascii="楷体" w:hAnsi="楷体" w:eastAsia="楷体" w:cs="楷体"/>
          <w:b/>
          <w:bCs/>
          <w:kern w:val="2"/>
          <w:sz w:val="32"/>
          <w:szCs w:val="28"/>
          <w:lang w:val="en-US" w:eastAsia="zh-CN" w:bidi="ar-SA"/>
        </w:rPr>
        <w:t>社会效益</w:t>
      </w:r>
      <w:bookmarkEnd w:id="69"/>
      <w:bookmarkEnd w:id="70"/>
      <w:bookmarkEnd w:id="71"/>
      <w:bookmarkEnd w:id="72"/>
      <w:bookmarkEnd w:id="73"/>
      <w:bookmarkEnd w:id="74"/>
    </w:p>
    <w:p w14:paraId="7748935D">
      <w:pPr>
        <w:keepNext/>
        <w:keepLines/>
        <w:pageBreakBefore w:val="0"/>
        <w:widowControl/>
        <w:kinsoku/>
        <w:wordWrap/>
        <w:overflowPunct/>
        <w:topLinePunct w:val="0"/>
        <w:autoSpaceDE/>
        <w:autoSpaceDN/>
        <w:bidi w:val="0"/>
        <w:adjustRightInd w:val="0"/>
        <w:snapToGrid/>
        <w:spacing w:before="10" w:after="10" w:line="360" w:lineRule="auto"/>
        <w:ind w:left="0" w:leftChars="0" w:firstLine="643" w:firstLineChars="200"/>
        <w:jc w:val="both"/>
        <w:textAlignment w:val="auto"/>
        <w:outlineLvl w:val="2"/>
        <w:rPr>
          <w:rFonts w:hint="eastAsia" w:ascii="仿宋" w:hAnsi="仿宋" w:eastAsia="仿宋" w:cs="仿宋"/>
          <w:b/>
          <w:bCs/>
          <w:kern w:val="2"/>
          <w:sz w:val="32"/>
          <w:szCs w:val="32"/>
          <w:lang w:val="en-US" w:eastAsia="zh-CN" w:bidi="ar-SA"/>
        </w:rPr>
      </w:pPr>
      <w:bookmarkStart w:id="75" w:name="_Toc21355"/>
      <w:bookmarkStart w:id="76" w:name="_Toc31592_WPSOffice_Level3"/>
      <w:bookmarkStart w:id="77" w:name="_Toc22323_WPSOffice_Level3"/>
      <w:bookmarkStart w:id="78" w:name="_Toc31572"/>
      <w:r>
        <w:rPr>
          <w:rFonts w:hint="eastAsia" w:ascii="仿宋" w:hAnsi="仿宋" w:eastAsia="仿宋" w:cs="仿宋"/>
          <w:b/>
          <w:bCs/>
          <w:kern w:val="2"/>
          <w:sz w:val="32"/>
          <w:szCs w:val="32"/>
          <w:lang w:val="en-US" w:eastAsia="zh-CN" w:bidi="ar-SA"/>
        </w:rPr>
        <w:t>1.老旧小区改造是全面实现小康社会的要求</w:t>
      </w:r>
      <w:bookmarkEnd w:id="75"/>
      <w:bookmarkEnd w:id="76"/>
      <w:bookmarkEnd w:id="77"/>
      <w:bookmarkEnd w:id="78"/>
    </w:p>
    <w:p w14:paraId="09DAA882">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both"/>
        <w:textAlignment w:val="auto"/>
        <w:rPr>
          <w:rFonts w:hint="eastAsia" w:ascii="仿宋" w:hAnsi="仿宋" w:eastAsia="仿宋" w:cs="仿宋"/>
          <w:b w:val="0"/>
          <w:bCs w:val="0"/>
          <w:i w:val="0"/>
          <w:caps w:val="0"/>
          <w:color w:val="333333"/>
          <w:spacing w:val="0"/>
          <w:kern w:val="2"/>
          <w:sz w:val="32"/>
          <w:szCs w:val="32"/>
          <w:shd w:val="clear" w:fill="FFFFFF"/>
          <w:lang w:val="en-US" w:eastAsia="zh-CN" w:bidi="ar-SA"/>
        </w:rPr>
      </w:pPr>
      <w:r>
        <w:rPr>
          <w:rFonts w:hint="eastAsia" w:ascii="仿宋" w:hAnsi="仿宋" w:eastAsia="仿宋" w:cs="仿宋"/>
          <w:b w:val="0"/>
          <w:bCs w:val="0"/>
          <w:i w:val="0"/>
          <w:caps w:val="0"/>
          <w:color w:val="333333"/>
          <w:spacing w:val="0"/>
          <w:kern w:val="2"/>
          <w:sz w:val="32"/>
          <w:szCs w:val="32"/>
          <w:shd w:val="clear" w:fill="FFFFFF"/>
          <w:lang w:val="en-US" w:eastAsia="zh-CN" w:bidi="ar-SA"/>
        </w:rPr>
        <w:t>随着社会的不断进步，大多数的老旧小区已经落后于时代的潮流。近年来，我国城市化进程加快，导致老旧小区没有配套的设施，同时存在着严重的设施老化等问题，这直接影响到居民的生活质量和美好的城市建设。我国各大城市城市建设的重要环节就是老旧城区改造，老旧城区改造工作关系城市内部广大人民群众的基本住房利益，能够从源头上解决老城区居民的生活难题，改善老城区群众的生活状况，是我国实现全面小康社会的要求。目前，我国越来越重视老旧小区的改造工作，《中共中央国务院关于进一步加强城市规划建设管理的若干意见》中明确提出：有序推进老旧小区住宅小区的综合治理。</w:t>
      </w:r>
    </w:p>
    <w:p w14:paraId="11807B33">
      <w:pPr>
        <w:keepNext/>
        <w:keepLines/>
        <w:pageBreakBefore w:val="0"/>
        <w:widowControl/>
        <w:kinsoku/>
        <w:wordWrap/>
        <w:overflowPunct/>
        <w:topLinePunct w:val="0"/>
        <w:autoSpaceDE/>
        <w:autoSpaceDN/>
        <w:bidi w:val="0"/>
        <w:adjustRightInd w:val="0"/>
        <w:snapToGrid/>
        <w:spacing w:before="10" w:after="10" w:line="360" w:lineRule="auto"/>
        <w:ind w:left="0" w:leftChars="0" w:firstLine="643" w:firstLineChars="200"/>
        <w:jc w:val="both"/>
        <w:textAlignment w:val="auto"/>
        <w:outlineLvl w:val="2"/>
        <w:rPr>
          <w:rFonts w:hint="eastAsia" w:ascii="仿宋" w:hAnsi="仿宋" w:eastAsia="仿宋" w:cs="仿宋"/>
          <w:b w:val="0"/>
          <w:bCs w:val="0"/>
          <w:kern w:val="2"/>
          <w:sz w:val="32"/>
          <w:szCs w:val="32"/>
          <w:lang w:val="en-US" w:eastAsia="zh-CN" w:bidi="ar-SA"/>
        </w:rPr>
      </w:pPr>
      <w:bookmarkStart w:id="79" w:name="_Toc8847_WPSOffice_Level3"/>
      <w:bookmarkStart w:id="80" w:name="_Toc28408_WPSOffice_Level3"/>
      <w:bookmarkStart w:id="81" w:name="_Toc1567"/>
      <w:bookmarkStart w:id="82" w:name="_Toc6615"/>
      <w:r>
        <w:rPr>
          <w:rFonts w:hint="eastAsia" w:ascii="仿宋" w:hAnsi="仿宋" w:eastAsia="仿宋" w:cs="仿宋"/>
          <w:b/>
          <w:bCs/>
          <w:kern w:val="2"/>
          <w:sz w:val="32"/>
          <w:szCs w:val="32"/>
          <w:lang w:val="en-US" w:eastAsia="zh-CN" w:bidi="ar-SA"/>
        </w:rPr>
        <w:t>2.老旧小区改造是贯彻落实科学发展观、构建和谐社会的客观要求</w:t>
      </w:r>
      <w:bookmarkEnd w:id="79"/>
      <w:bookmarkEnd w:id="80"/>
      <w:bookmarkEnd w:id="81"/>
      <w:bookmarkEnd w:id="82"/>
    </w:p>
    <w:p w14:paraId="5FA1709C">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both"/>
        <w:textAlignment w:val="auto"/>
        <w:rPr>
          <w:rFonts w:hint="eastAsia" w:ascii="仿宋" w:hAnsi="仿宋" w:eastAsia="仿宋" w:cs="仿宋"/>
          <w:b w:val="0"/>
          <w:bCs w:val="0"/>
          <w:i w:val="0"/>
          <w:caps w:val="0"/>
          <w:color w:val="333333"/>
          <w:spacing w:val="0"/>
          <w:kern w:val="2"/>
          <w:sz w:val="32"/>
          <w:szCs w:val="32"/>
          <w:shd w:val="clear" w:fill="FFFFFF"/>
          <w:lang w:val="en-US" w:eastAsia="zh-CN" w:bidi="ar-SA"/>
        </w:rPr>
      </w:pPr>
      <w:r>
        <w:rPr>
          <w:rFonts w:hint="eastAsia" w:ascii="仿宋" w:hAnsi="仿宋" w:eastAsia="仿宋" w:cs="仿宋"/>
          <w:b w:val="0"/>
          <w:bCs w:val="0"/>
          <w:i w:val="0"/>
          <w:caps w:val="0"/>
          <w:color w:val="333333"/>
          <w:spacing w:val="0"/>
          <w:kern w:val="2"/>
          <w:sz w:val="32"/>
          <w:szCs w:val="32"/>
          <w:shd w:val="clear" w:fill="FFFFFF"/>
          <w:lang w:val="en-US" w:eastAsia="zh-CN" w:bidi="ar-SA"/>
        </w:rPr>
        <w:t>在加快发展中实现科学发展、和谐发展，不仅要统筹城乡和区域发展，而且要注重资源与环境的协调，注重区域中、低收入困难群众的基本生活保障。实施老旧小区改造，将使相当一部分群众享受改革发展的成果，不仅大大改善群众的居住条件，还将推动住房制度改革的深化，进一步完善社会保障体系，实现社会公平、促进社会和谐。</w:t>
      </w:r>
    </w:p>
    <w:p w14:paraId="4F7F04BF">
      <w:pPr>
        <w:keepNext/>
        <w:keepLines/>
        <w:pageBreakBefore w:val="0"/>
        <w:widowControl/>
        <w:kinsoku/>
        <w:wordWrap/>
        <w:overflowPunct/>
        <w:topLinePunct w:val="0"/>
        <w:autoSpaceDE/>
        <w:autoSpaceDN/>
        <w:bidi w:val="0"/>
        <w:adjustRightInd w:val="0"/>
        <w:snapToGrid/>
        <w:spacing w:before="10" w:after="10" w:line="360" w:lineRule="auto"/>
        <w:ind w:left="0" w:leftChars="0" w:firstLine="643" w:firstLineChars="200"/>
        <w:jc w:val="both"/>
        <w:textAlignment w:val="auto"/>
        <w:outlineLvl w:val="2"/>
        <w:rPr>
          <w:rFonts w:hint="eastAsia" w:ascii="仿宋" w:hAnsi="仿宋" w:eastAsia="仿宋" w:cs="仿宋"/>
          <w:b w:val="0"/>
          <w:bCs w:val="0"/>
          <w:kern w:val="2"/>
          <w:sz w:val="32"/>
          <w:szCs w:val="32"/>
          <w:lang w:val="en-US" w:eastAsia="zh-CN" w:bidi="ar-SA"/>
        </w:rPr>
      </w:pPr>
      <w:bookmarkStart w:id="83" w:name="_Toc18104"/>
      <w:bookmarkStart w:id="84" w:name="_Toc14148_WPSOffice_Level3"/>
      <w:bookmarkStart w:id="85" w:name="_Toc26938"/>
      <w:bookmarkStart w:id="86" w:name="_Toc8801_WPSOffice_Level3"/>
      <w:r>
        <w:rPr>
          <w:rFonts w:hint="eastAsia" w:ascii="仿宋" w:hAnsi="仿宋" w:eastAsia="仿宋" w:cs="仿宋"/>
          <w:b/>
          <w:bCs/>
          <w:kern w:val="2"/>
          <w:sz w:val="32"/>
          <w:szCs w:val="32"/>
          <w:lang w:val="en-US" w:eastAsia="zh-CN" w:bidi="ar-SA"/>
        </w:rPr>
        <w:t>3.老旧小区改造是满足群众住房的要求</w:t>
      </w:r>
      <w:bookmarkEnd w:id="83"/>
      <w:bookmarkEnd w:id="84"/>
      <w:bookmarkEnd w:id="85"/>
      <w:bookmarkEnd w:id="86"/>
    </w:p>
    <w:p w14:paraId="0E34319C">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both"/>
        <w:textAlignment w:val="auto"/>
        <w:rPr>
          <w:rFonts w:hint="eastAsia" w:ascii="仿宋" w:hAnsi="仿宋" w:eastAsia="仿宋" w:cs="仿宋"/>
          <w:b w:val="0"/>
          <w:bCs w:val="0"/>
          <w:i w:val="0"/>
          <w:caps w:val="0"/>
          <w:color w:val="333333"/>
          <w:spacing w:val="0"/>
          <w:kern w:val="2"/>
          <w:sz w:val="32"/>
          <w:szCs w:val="32"/>
          <w:shd w:val="clear" w:fill="FFFFFF"/>
          <w:lang w:val="en-US" w:eastAsia="zh-CN" w:bidi="ar-SA"/>
        </w:rPr>
      </w:pPr>
      <w:r>
        <w:rPr>
          <w:rFonts w:hint="eastAsia" w:ascii="仿宋" w:hAnsi="仿宋" w:eastAsia="仿宋" w:cs="仿宋"/>
          <w:b w:val="0"/>
          <w:bCs w:val="0"/>
          <w:i w:val="0"/>
          <w:caps w:val="0"/>
          <w:color w:val="333333"/>
          <w:spacing w:val="0"/>
          <w:kern w:val="2"/>
          <w:sz w:val="32"/>
          <w:szCs w:val="32"/>
          <w:shd w:val="clear" w:fill="FFFFFF"/>
          <w:lang w:val="en-US" w:eastAsia="zh-CN" w:bidi="ar-SA"/>
        </w:rPr>
        <w:t>住房是人们生活的基本要素之一，也是当前城乡居民最为关心的问题之一。随着社会经济的发展、人们生活水平的提高、消费个性化倾向发展等因素，促使人们对住房的需求无论在量和值上都日趋增强。随着生活节奏的加快，在繁忙的工作之余拥有一个舒适的休息环境已成为人们迫切的愿望。改善居民的居住环境，提高住房水平，对老旧小区进行改造是行之有效的办法。</w:t>
      </w:r>
    </w:p>
    <w:p w14:paraId="573762E1">
      <w:pPr>
        <w:keepNext/>
        <w:keepLines/>
        <w:pageBreakBefore w:val="0"/>
        <w:widowControl/>
        <w:kinsoku/>
        <w:wordWrap/>
        <w:overflowPunct/>
        <w:topLinePunct w:val="0"/>
        <w:autoSpaceDE/>
        <w:autoSpaceDN/>
        <w:bidi w:val="0"/>
        <w:adjustRightInd w:val="0"/>
        <w:snapToGrid/>
        <w:spacing w:before="10" w:after="10" w:line="360" w:lineRule="auto"/>
        <w:ind w:left="0" w:leftChars="0" w:firstLine="643" w:firstLineChars="200"/>
        <w:jc w:val="both"/>
        <w:textAlignment w:val="auto"/>
        <w:outlineLvl w:val="2"/>
        <w:rPr>
          <w:rFonts w:hint="eastAsia" w:ascii="仿宋" w:hAnsi="仿宋" w:eastAsia="仿宋" w:cs="仿宋"/>
          <w:b w:val="0"/>
          <w:bCs w:val="0"/>
          <w:kern w:val="2"/>
          <w:sz w:val="32"/>
          <w:szCs w:val="32"/>
          <w:lang w:val="en-US" w:eastAsia="zh-CN" w:bidi="ar-SA"/>
        </w:rPr>
      </w:pPr>
      <w:bookmarkStart w:id="87" w:name="_Toc7542_WPSOffice_Level3"/>
      <w:bookmarkStart w:id="88" w:name="_Toc14537_WPSOffice_Level3"/>
      <w:bookmarkStart w:id="89" w:name="_Toc28229"/>
      <w:bookmarkStart w:id="90" w:name="_Toc439"/>
      <w:r>
        <w:rPr>
          <w:rFonts w:hint="eastAsia" w:ascii="仿宋" w:hAnsi="仿宋" w:eastAsia="仿宋" w:cs="仿宋"/>
          <w:b/>
          <w:bCs/>
          <w:kern w:val="2"/>
          <w:sz w:val="32"/>
          <w:szCs w:val="32"/>
          <w:lang w:val="en-US" w:eastAsia="zh-CN" w:bidi="ar-SA"/>
        </w:rPr>
        <w:t>4.老旧小区改造是提升群众生活质量的重要手段</w:t>
      </w:r>
      <w:bookmarkEnd w:id="87"/>
      <w:bookmarkEnd w:id="88"/>
      <w:bookmarkEnd w:id="89"/>
      <w:bookmarkEnd w:id="90"/>
    </w:p>
    <w:p w14:paraId="0AA41C2C">
      <w:pPr>
        <w:pStyle w:val="11"/>
        <w:pageBreakBefore w:val="0"/>
        <w:wordWrap/>
        <w:topLinePunct w:val="0"/>
        <w:autoSpaceDE/>
        <w:autoSpaceDN/>
        <w:bidi w:val="0"/>
        <w:spacing w:line="360" w:lineRule="auto"/>
        <w:ind w:left="0" w:leftChars="0" w:firstLine="0" w:firstLineChars="0"/>
        <w:textAlignment w:val="auto"/>
        <w:rPr>
          <w:rFonts w:hint="eastAsia" w:ascii="仿宋" w:hAnsi="仿宋" w:eastAsia="仿宋" w:cs="仿宋"/>
          <w:b w:val="0"/>
          <w:bCs w:val="0"/>
          <w:i w:val="0"/>
          <w:caps w:val="0"/>
          <w:color w:val="333333"/>
          <w:spacing w:val="0"/>
          <w:kern w:val="2"/>
          <w:sz w:val="32"/>
          <w:szCs w:val="32"/>
          <w:shd w:val="clear" w:fill="FFFFFF"/>
          <w:lang w:val="en-US" w:eastAsia="zh-CN" w:bidi="ar-SA"/>
        </w:rPr>
      </w:pPr>
      <w:r>
        <w:rPr>
          <w:rFonts w:hint="eastAsia" w:ascii="仿宋" w:hAnsi="仿宋" w:eastAsia="仿宋" w:cs="仿宋"/>
          <w:b w:val="0"/>
          <w:bCs w:val="0"/>
          <w:i w:val="0"/>
          <w:caps w:val="0"/>
          <w:color w:val="333333"/>
          <w:spacing w:val="0"/>
          <w:kern w:val="2"/>
          <w:sz w:val="32"/>
          <w:szCs w:val="32"/>
          <w:shd w:val="clear" w:fill="FFFFFF"/>
          <w:lang w:val="en-US" w:eastAsia="zh-CN" w:bidi="ar-SA"/>
        </w:rPr>
        <w:t>老旧小区改造前的路面早已坑坑洼洼、楼梯不平整、路灯不亮，严重影响了老人出行。私人霸占消防通道，造成安全隐患。排水管道老化、堵塞严重、线路老化给业主的生活带来诸多的不便，大家都迫切希望改变这种状况。解决这些问题的关键是全面整顿，建立完整的管理机制，形成良性循环。老旧小区改造综合整治的意义，除了改善、维护社区秩序，保障居民的基本生活条件外，还要协调社会各个方面，解决一系列的矛盾，创造出和谐的人文环境。老旧小区改造好让人们的居住环境条件得到改善，环境变得优美，生活也会更幸福，生活质量水平自然会提高。</w:t>
      </w:r>
    </w:p>
    <w:p w14:paraId="32250623">
      <w:pPr>
        <w:keepNext/>
        <w:keepLines/>
        <w:pageBreakBefore w:val="0"/>
        <w:widowControl w:val="0"/>
        <w:tabs>
          <w:tab w:val="left" w:pos="0"/>
          <w:tab w:val="left" w:pos="3285"/>
        </w:tabs>
        <w:kinsoku/>
        <w:wordWrap/>
        <w:overflowPunct/>
        <w:topLinePunct w:val="0"/>
        <w:autoSpaceDE/>
        <w:autoSpaceDN/>
        <w:bidi w:val="0"/>
        <w:adjustRightInd/>
        <w:snapToGrid/>
        <w:spacing w:before="10" w:beforeLines="0" w:beforeAutospacing="0" w:after="10" w:afterLines="0" w:afterAutospacing="0" w:line="360" w:lineRule="auto"/>
        <w:jc w:val="both"/>
        <w:textAlignment w:val="auto"/>
        <w:outlineLvl w:val="0"/>
        <w:rPr>
          <w:rFonts w:hint="eastAsia" w:ascii="Calibri" w:hAnsi="Calibri" w:eastAsia="宋体" w:cs="Times New Roman"/>
          <w:b/>
          <w:bCs/>
          <w:kern w:val="44"/>
          <w:sz w:val="32"/>
          <w:szCs w:val="32"/>
          <w:lang w:val="en-US" w:eastAsia="zh-CN" w:bidi="ar-SA"/>
        </w:rPr>
      </w:pPr>
      <w:bookmarkStart w:id="91" w:name="_Toc31508_WPSOffice_Level1"/>
      <w:bookmarkStart w:id="92" w:name="_Toc19596_WPSOffice_Level1"/>
      <w:bookmarkStart w:id="93" w:name="_Toc2555"/>
      <w:bookmarkStart w:id="94" w:name="_Toc24230"/>
      <w:bookmarkStart w:id="95" w:name="_Toc19376"/>
      <w:bookmarkStart w:id="96" w:name="_Toc12848"/>
      <w:r>
        <w:rPr>
          <w:rFonts w:hint="eastAsia" w:ascii="Calibri" w:hAnsi="Calibri" w:eastAsia="宋体" w:cs="Times New Roman"/>
          <w:b/>
          <w:bCs/>
          <w:kern w:val="44"/>
          <w:sz w:val="32"/>
          <w:szCs w:val="32"/>
          <w:lang w:val="en-US" w:eastAsia="zh-CN" w:bidi="ar-SA"/>
        </w:rPr>
        <w:t>三、项目投资估算及资金筹措方案</w:t>
      </w:r>
      <w:bookmarkEnd w:id="91"/>
      <w:bookmarkEnd w:id="92"/>
      <w:bookmarkEnd w:id="93"/>
      <w:bookmarkEnd w:id="94"/>
      <w:bookmarkEnd w:id="95"/>
      <w:bookmarkEnd w:id="96"/>
    </w:p>
    <w:p w14:paraId="3A1AB4BC">
      <w:pPr>
        <w:pStyle w:val="11"/>
        <w:pageBreakBefore w:val="0"/>
        <w:wordWrap/>
        <w:topLinePunct w:val="0"/>
        <w:autoSpaceDE/>
        <w:autoSpaceDN/>
        <w:bidi w:val="0"/>
        <w:spacing w:line="360" w:lineRule="auto"/>
        <w:ind w:left="0" w:leftChars="0" w:firstLine="0" w:firstLineChars="0"/>
        <w:textAlignment w:val="auto"/>
        <w:rPr>
          <w:rFonts w:hint="eastAsia" w:ascii="Arial" w:hAnsi="Arial" w:eastAsia="楷体" w:cs="Times New Roman"/>
          <w:b/>
          <w:bCs/>
          <w:kern w:val="2"/>
          <w:sz w:val="32"/>
          <w:szCs w:val="24"/>
          <w:lang w:val="en-US" w:eastAsia="zh-CN" w:bidi="ar-SA"/>
        </w:rPr>
      </w:pPr>
      <w:bookmarkStart w:id="97" w:name="_Toc25382"/>
      <w:bookmarkStart w:id="98" w:name="_Toc29595_WPSOffice_Level2"/>
      <w:bookmarkStart w:id="99" w:name="_Toc29672"/>
      <w:bookmarkStart w:id="100" w:name="_Toc15426"/>
      <w:bookmarkStart w:id="101" w:name="_Toc26382"/>
      <w:bookmarkStart w:id="102" w:name="_Toc20125_WPSOffice_Level2"/>
      <w:r>
        <w:rPr>
          <w:rFonts w:hint="eastAsia" w:ascii="Arial" w:hAnsi="Arial" w:eastAsia="楷体" w:cs="Times New Roman"/>
          <w:b/>
          <w:bCs/>
          <w:kern w:val="2"/>
          <w:sz w:val="32"/>
          <w:szCs w:val="24"/>
          <w:lang w:val="en-US" w:eastAsia="zh-CN" w:bidi="ar-SA"/>
        </w:rPr>
        <w:t>（一）投资估算</w:t>
      </w:r>
      <w:bookmarkEnd w:id="97"/>
      <w:bookmarkEnd w:id="98"/>
      <w:bookmarkEnd w:id="99"/>
      <w:bookmarkEnd w:id="100"/>
      <w:bookmarkEnd w:id="101"/>
      <w:bookmarkEnd w:id="102"/>
    </w:p>
    <w:p w14:paraId="5F58D430">
      <w:pPr>
        <w:pStyle w:val="11"/>
        <w:keepNext w:val="0"/>
        <w:keepLines w:val="0"/>
        <w:pageBreakBefore w:val="0"/>
        <w:widowControl w:val="0"/>
        <w:kinsoku/>
        <w:wordWrap/>
        <w:overflowPunct/>
        <w:topLinePunct w:val="0"/>
        <w:autoSpaceDE/>
        <w:autoSpaceDN/>
        <w:bidi w:val="0"/>
        <w:adjustRightInd w:val="0"/>
        <w:snapToGrid w:val="0"/>
        <w:spacing w:line="360" w:lineRule="auto"/>
        <w:ind w:left="0" w:leftChars="0" w:firstLine="640" w:firstLineChars="200"/>
        <w:textAlignment w:val="auto"/>
        <w:rPr>
          <w:rFonts w:hint="eastAsia" w:ascii="仿宋" w:hAnsi="仿宋" w:eastAsia="仿宋" w:cs="仿宋"/>
          <w:kern w:val="0"/>
          <w:sz w:val="32"/>
          <w:szCs w:val="32"/>
          <w:lang w:val="en-US" w:eastAsia="zh-CN" w:bidi="ar-SA"/>
        </w:rPr>
      </w:pPr>
      <w:r>
        <w:rPr>
          <w:rFonts w:hint="eastAsia" w:ascii="仿宋" w:hAnsi="仿宋" w:eastAsia="仿宋" w:cs="仿宋"/>
          <w:kern w:val="0"/>
          <w:sz w:val="32"/>
          <w:szCs w:val="32"/>
          <w:lang w:val="en-US" w:eastAsia="zh-CN" w:bidi="ar-SA"/>
        </w:rPr>
        <w:t>本项目建设总投资51,121.88万元，其资金来源为争取地方政府专项债券、财政资金出资。具体组成如下：工程建设费用39,780.96万元，占总投资的77.82%；工程建设其他费用4,433.74万元，占总投资的8.67%；预备费3,287.18万元，占总投资的6.43%；建设期利息3,580.00万元，占总投资的7.00%；债券发行手续费40.00万元，占总投资的0.05%。</w:t>
      </w:r>
    </w:p>
    <w:p w14:paraId="118FF608">
      <w:pPr>
        <w:pStyle w:val="11"/>
        <w:keepNext w:val="0"/>
        <w:keepLines w:val="0"/>
        <w:pageBreakBefore w:val="0"/>
        <w:widowControl w:val="0"/>
        <w:numPr>
          <w:ilvl w:val="0"/>
          <w:numId w:val="3"/>
        </w:numPr>
        <w:kinsoku/>
        <w:wordWrap/>
        <w:overflowPunct/>
        <w:topLinePunct w:val="0"/>
        <w:autoSpaceDE/>
        <w:autoSpaceDN/>
        <w:bidi w:val="0"/>
        <w:adjustRightInd w:val="0"/>
        <w:snapToGrid w:val="0"/>
        <w:spacing w:line="360" w:lineRule="auto"/>
        <w:ind w:left="0" w:leftChars="0" w:firstLine="0" w:firstLineChars="0"/>
        <w:textAlignment w:val="auto"/>
        <w:rPr>
          <w:rFonts w:hint="eastAsia" w:ascii="Times New Roman" w:eastAsia="宋体"/>
          <w:b/>
          <w:bCs/>
          <w:lang w:val="en-US" w:eastAsia="zh-CN"/>
        </w:rPr>
      </w:pPr>
      <w:r>
        <w:rPr>
          <w:rFonts w:hint="eastAsia" w:ascii="Times New Roman" w:eastAsia="宋体"/>
          <w:b/>
          <w:bCs/>
          <w:lang w:val="en-US" w:eastAsia="zh-CN"/>
        </w:rPr>
        <w:t>资金筹措方案</w:t>
      </w:r>
    </w:p>
    <w:p w14:paraId="012048B8">
      <w:pPr>
        <w:keepNext w:val="0"/>
        <w:keepLines w:val="0"/>
        <w:pageBreakBefore w:val="0"/>
        <w:widowControl w:val="0"/>
        <w:kinsoku/>
        <w:wordWrap/>
        <w:overflowPunct/>
        <w:topLinePunct w:val="0"/>
        <w:autoSpaceDE/>
        <w:autoSpaceDN/>
        <w:bidi w:val="0"/>
        <w:adjustRightInd/>
        <w:snapToGrid/>
        <w:spacing w:before="0" w:after="0" w:line="360" w:lineRule="auto"/>
        <w:ind w:firstLine="643" w:firstLineChars="200"/>
        <w:textAlignment w:val="auto"/>
        <w:rPr>
          <w:rFonts w:hint="eastAsia" w:ascii="仿宋" w:hAnsi="仿宋" w:eastAsia="仿宋" w:cs="仿宋"/>
          <w:sz w:val="32"/>
          <w:szCs w:val="32"/>
          <w:highlight w:val="none"/>
        </w:rPr>
      </w:pPr>
      <w:r>
        <w:rPr>
          <w:rFonts w:hint="eastAsia" w:ascii="仿宋" w:hAnsi="仿宋" w:eastAsia="仿宋" w:cs="仿宋"/>
          <w:b/>
          <w:bCs/>
          <w:sz w:val="32"/>
          <w:szCs w:val="32"/>
        </w:rPr>
        <w:t>资本金来源：</w:t>
      </w:r>
      <w:r>
        <w:rPr>
          <w:rFonts w:hint="eastAsia" w:ascii="仿宋" w:hAnsi="仿宋" w:eastAsia="仿宋" w:cs="仿宋"/>
          <w:sz w:val="32"/>
          <w:szCs w:val="32"/>
          <w:highlight w:val="none"/>
        </w:rPr>
        <w:t>项目资本金</w:t>
      </w:r>
      <w:r>
        <w:rPr>
          <w:rFonts w:hint="eastAsia" w:ascii="仿宋" w:hAnsi="仿宋" w:eastAsia="仿宋" w:cs="仿宋"/>
          <w:sz w:val="32"/>
          <w:szCs w:val="32"/>
          <w:highlight w:val="none"/>
          <w:lang w:val="en-US" w:eastAsia="zh-CN"/>
        </w:rPr>
        <w:t>11,121.88</w:t>
      </w:r>
      <w:r>
        <w:rPr>
          <w:rFonts w:hint="eastAsia" w:ascii="仿宋" w:hAnsi="仿宋" w:eastAsia="仿宋" w:cs="仿宋"/>
          <w:sz w:val="32"/>
          <w:szCs w:val="32"/>
          <w:highlight w:val="none"/>
        </w:rPr>
        <w:t>万元（约占总投资的</w:t>
      </w:r>
      <w:r>
        <w:rPr>
          <w:rFonts w:hint="eastAsia" w:ascii="仿宋" w:hAnsi="仿宋" w:eastAsia="仿宋" w:cs="仿宋"/>
          <w:sz w:val="32"/>
          <w:szCs w:val="32"/>
          <w:highlight w:val="none"/>
          <w:lang w:val="en-US" w:eastAsia="zh-CN"/>
        </w:rPr>
        <w:t>21</w:t>
      </w:r>
      <w:r>
        <w:rPr>
          <w:rFonts w:hint="eastAsia" w:ascii="仿宋" w:hAnsi="仿宋" w:eastAsia="仿宋" w:cs="仿宋"/>
          <w:sz w:val="32"/>
          <w:szCs w:val="32"/>
          <w:lang w:val="en-US" w:eastAsia="zh-CN"/>
        </w:rPr>
        <w:t>.76%</w:t>
      </w:r>
      <w:r>
        <w:rPr>
          <w:rFonts w:hint="eastAsia" w:ascii="仿宋" w:hAnsi="仿宋" w:eastAsia="仿宋" w:cs="仿宋"/>
          <w:sz w:val="32"/>
          <w:szCs w:val="32"/>
          <w:highlight w:val="none"/>
        </w:rPr>
        <w:t>）。项目资本金来源于</w:t>
      </w:r>
      <w:r>
        <w:rPr>
          <w:rFonts w:hint="eastAsia" w:ascii="仿宋" w:hAnsi="仿宋" w:eastAsia="仿宋" w:cs="仿宋"/>
          <w:sz w:val="32"/>
          <w:szCs w:val="32"/>
          <w:highlight w:val="none"/>
          <w:lang w:val="en-US" w:eastAsia="zh-CN"/>
        </w:rPr>
        <w:t>财政资金</w:t>
      </w:r>
      <w:r>
        <w:rPr>
          <w:rFonts w:hint="eastAsia" w:ascii="仿宋" w:hAnsi="仿宋" w:eastAsia="仿宋" w:cs="仿宋"/>
          <w:sz w:val="32"/>
          <w:szCs w:val="32"/>
          <w:highlight w:val="none"/>
        </w:rPr>
        <w:t>，纳入年度计划，并根据项目建设实际情况计划分批次投入。</w:t>
      </w:r>
    </w:p>
    <w:p w14:paraId="65E46BE0">
      <w:pPr>
        <w:keepNext w:val="0"/>
        <w:keepLines w:val="0"/>
        <w:pageBreakBefore w:val="0"/>
        <w:widowControl w:val="0"/>
        <w:kinsoku/>
        <w:wordWrap/>
        <w:overflowPunct/>
        <w:topLinePunct w:val="0"/>
        <w:autoSpaceDE/>
        <w:autoSpaceDN/>
        <w:bidi w:val="0"/>
        <w:adjustRightInd/>
        <w:snapToGrid/>
        <w:spacing w:before="0" w:after="0" w:line="360" w:lineRule="auto"/>
        <w:ind w:firstLine="643" w:firstLineChars="200"/>
        <w:textAlignment w:val="auto"/>
        <w:rPr>
          <w:rFonts w:hint="eastAsia" w:ascii="仿宋" w:hAnsi="仿宋" w:eastAsia="仿宋" w:cs="仿宋"/>
          <w:sz w:val="32"/>
          <w:szCs w:val="32"/>
          <w:highlight w:val="none"/>
          <w:lang w:val="en-US" w:eastAsia="zh-CN"/>
        </w:rPr>
      </w:pPr>
      <w:r>
        <w:rPr>
          <w:rFonts w:hint="eastAsia" w:ascii="仿宋" w:hAnsi="仿宋" w:eastAsia="仿宋" w:cs="仿宋"/>
          <w:b/>
          <w:bCs/>
          <w:sz w:val="32"/>
          <w:szCs w:val="32"/>
          <w:lang w:val="en-US" w:eastAsia="zh-CN"/>
        </w:rPr>
        <w:t>融资来源：</w:t>
      </w:r>
      <w:r>
        <w:rPr>
          <w:rFonts w:hint="eastAsia" w:ascii="仿宋" w:hAnsi="仿宋" w:eastAsia="仿宋" w:cs="仿宋"/>
          <w:sz w:val="32"/>
          <w:szCs w:val="32"/>
          <w:highlight w:val="none"/>
          <w:lang w:val="en-US" w:eastAsia="zh-CN"/>
        </w:rPr>
        <w:t>本项目拟发行20年期政府专项债券总额为40000.00万元，占总投资的78.24%。其中：拟于2025年发行10,000万元；2026年发行10,000万元;2027年发行10,000万元,2028年发行10,000万元。</w:t>
      </w:r>
    </w:p>
    <w:p w14:paraId="789821E4">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仿宋" w:hAnsi="仿宋" w:cs="仿宋"/>
          <w:sz w:val="32"/>
          <w:szCs w:val="32"/>
          <w:lang w:val="en-US" w:eastAsia="zh-CN"/>
        </w:rPr>
      </w:pPr>
      <w:r>
        <w:rPr>
          <w:rFonts w:hint="eastAsia" w:ascii="仿宋" w:hAnsi="仿宋" w:eastAsia="仿宋" w:cs="仿宋"/>
          <w:sz w:val="32"/>
          <w:szCs w:val="32"/>
        </w:rPr>
        <w:t>项目所筹资金将根据项目实施计划和实时建设进度来进行合理分配，且将全部投资</w:t>
      </w:r>
      <w:r>
        <w:rPr>
          <w:rFonts w:hint="eastAsia" w:ascii="仿宋" w:hAnsi="仿宋" w:eastAsia="仿宋" w:cs="仿宋"/>
          <w:sz w:val="32"/>
          <w:szCs w:val="32"/>
          <w:highlight w:val="none"/>
        </w:rPr>
        <w:t>于</w:t>
      </w:r>
      <w:r>
        <w:rPr>
          <w:rFonts w:hint="eastAsia" w:ascii="仿宋" w:hAnsi="仿宋" w:eastAsia="仿宋" w:cs="仿宋"/>
          <w:color w:val="auto"/>
          <w:sz w:val="32"/>
          <w:szCs w:val="32"/>
          <w:lang w:val="en-US" w:eastAsia="zh-CN"/>
        </w:rPr>
        <w:t>泸州市城南片区老旧小区改造及地下管网更新改造项目</w:t>
      </w:r>
      <w:r>
        <w:rPr>
          <w:rFonts w:hint="eastAsia" w:ascii="仿宋" w:hAnsi="仿宋" w:eastAsia="仿宋" w:cs="仿宋"/>
          <w:sz w:val="32"/>
          <w:szCs w:val="32"/>
          <w:highlight w:val="none"/>
        </w:rPr>
        <w:t>，具体数额</w:t>
      </w:r>
      <w:r>
        <w:rPr>
          <w:rFonts w:hint="eastAsia" w:ascii="仿宋" w:hAnsi="仿宋" w:eastAsia="仿宋" w:cs="仿宋"/>
          <w:sz w:val="32"/>
          <w:szCs w:val="32"/>
        </w:rPr>
        <w:t>应当根据进度支出。在保证项目工程投资资金充足的情况下，充分利用且不浪费当年度专项债券融资额度。按照建设进度，总投资计划分</w:t>
      </w:r>
      <w:r>
        <w:rPr>
          <w:rFonts w:hint="eastAsia" w:ascii="仿宋" w:hAnsi="仿宋" w:eastAsia="仿宋" w:cs="仿宋"/>
          <w:sz w:val="32"/>
          <w:szCs w:val="32"/>
          <w:lang w:val="en-US" w:eastAsia="zh-CN"/>
        </w:rPr>
        <w:t>4</w:t>
      </w:r>
      <w:r>
        <w:rPr>
          <w:rFonts w:hint="eastAsia" w:ascii="仿宋" w:hAnsi="仿宋" w:eastAsia="仿宋" w:cs="仿宋"/>
          <w:sz w:val="32"/>
          <w:szCs w:val="32"/>
        </w:rPr>
        <w:t>个年度投入，具体的资金使用</w:t>
      </w: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筹措</w:t>
      </w:r>
      <w:r>
        <w:rPr>
          <w:rFonts w:hint="eastAsia" w:ascii="仿宋" w:hAnsi="仿宋" w:eastAsia="仿宋" w:cs="仿宋"/>
          <w:sz w:val="32"/>
          <w:szCs w:val="32"/>
        </w:rPr>
        <w:t>计划见下表</w:t>
      </w:r>
      <w:r>
        <w:rPr>
          <w:rFonts w:hint="eastAsia" w:ascii="仿宋" w:hAnsi="仿宋" w:cs="仿宋"/>
          <w:sz w:val="32"/>
          <w:szCs w:val="32"/>
          <w:lang w:val="en-US" w:eastAsia="zh-CN"/>
        </w:rPr>
        <w:t>.</w:t>
      </w:r>
    </w:p>
    <w:p w14:paraId="3BC8A674">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center"/>
        <w:textAlignment w:val="auto"/>
        <w:rPr>
          <w:rFonts w:hint="eastAsia" w:ascii="仿宋" w:hAnsi="仿宋" w:eastAsia="仿宋" w:cs="仿宋"/>
          <w:b/>
          <w:bCs/>
          <w:color w:val="auto"/>
          <w:sz w:val="21"/>
          <w:szCs w:val="21"/>
          <w:lang w:val="en-US" w:eastAsia="zh-CN"/>
        </w:rPr>
      </w:pPr>
      <w:r>
        <w:rPr>
          <w:rFonts w:hint="eastAsia" w:ascii="仿宋" w:hAnsi="仿宋" w:eastAsia="仿宋" w:cs="仿宋"/>
          <w:b/>
          <w:bCs/>
          <w:sz w:val="21"/>
          <w:szCs w:val="21"/>
          <w:lang w:val="en-US" w:eastAsia="zh-CN"/>
        </w:rPr>
        <w:t xml:space="preserve">表3 项目资金使用与筹措表                   </w:t>
      </w:r>
      <w:r>
        <w:rPr>
          <w:rFonts w:hint="eastAsia" w:ascii="仿宋" w:hAnsi="仿宋" w:eastAsia="仿宋" w:cs="仿宋"/>
          <w:b/>
          <w:bCs/>
          <w:color w:val="auto"/>
          <w:sz w:val="21"/>
          <w:szCs w:val="21"/>
          <w:lang w:val="en-US" w:eastAsia="zh-CN"/>
        </w:rPr>
        <w:t>单位：万元</w:t>
      </w:r>
    </w:p>
    <w:tbl>
      <w:tblPr>
        <w:tblStyle w:val="12"/>
        <w:tblW w:w="5000" w:type="pct"/>
        <w:jc w:val="center"/>
        <w:tblBorders>
          <w:top w:val="single" w:color="auto" w:sz="12" w:space="0"/>
          <w:left w:val="none" w:color="auto" w:sz="0" w:space="0"/>
          <w:bottom w:val="single" w:color="auto" w:sz="12" w:space="0"/>
          <w:right w:val="none" w:color="auto" w:sz="0" w:space="0"/>
          <w:insideH w:val="dotted" w:color="auto" w:sz="4" w:space="0"/>
          <w:insideV w:val="dotted" w:color="auto" w:sz="4" w:space="0"/>
        </w:tblBorders>
        <w:tblLayout w:type="autofit"/>
        <w:tblCellMar>
          <w:top w:w="0" w:type="dxa"/>
          <w:left w:w="108" w:type="dxa"/>
          <w:bottom w:w="0" w:type="dxa"/>
          <w:right w:w="108" w:type="dxa"/>
        </w:tblCellMar>
      </w:tblPr>
      <w:tblGrid>
        <w:gridCol w:w="1858"/>
        <w:gridCol w:w="2248"/>
        <w:gridCol w:w="2036"/>
        <w:gridCol w:w="2380"/>
      </w:tblGrid>
      <w:tr w14:paraId="5B534350">
        <w:tblPrEx>
          <w:tblBorders>
            <w:top w:val="single" w:color="auto" w:sz="12" w:space="0"/>
            <w:left w:val="none" w:color="auto" w:sz="0" w:space="0"/>
            <w:bottom w:val="single" w:color="auto" w:sz="12" w:space="0"/>
            <w:right w:val="none" w:color="auto" w:sz="0" w:space="0"/>
            <w:insideH w:val="dotted" w:color="auto" w:sz="4" w:space="0"/>
            <w:insideV w:val="dotted" w:color="auto" w:sz="4" w:space="0"/>
          </w:tblBorders>
          <w:tblCellMar>
            <w:top w:w="0" w:type="dxa"/>
            <w:left w:w="108" w:type="dxa"/>
            <w:bottom w:w="0" w:type="dxa"/>
            <w:right w:w="108" w:type="dxa"/>
          </w:tblCellMar>
        </w:tblPrEx>
        <w:trPr>
          <w:trHeight w:val="342" w:hRule="atLeast"/>
          <w:jc w:val="center"/>
        </w:trPr>
        <w:tc>
          <w:tcPr>
            <w:tcW w:w="1044" w:type="pct"/>
            <w:vMerge w:val="restart"/>
            <w:tcBorders>
              <w:tl2br w:val="nil"/>
              <w:tr2bl w:val="nil"/>
            </w:tcBorders>
            <w:vAlign w:val="center"/>
          </w:tcPr>
          <w:p w14:paraId="24DC0F0C">
            <w:pPr>
              <w:keepNext w:val="0"/>
              <w:keepLines w:val="0"/>
              <w:widowControl/>
              <w:suppressLineNumbers w:val="0"/>
              <w:jc w:val="center"/>
              <w:textAlignment w:val="center"/>
              <w:rPr>
                <w:rFonts w:hint="eastAsia" w:ascii="仿宋" w:hAnsi="仿宋" w:eastAsia="仿宋" w:cs="仿宋"/>
                <w:kern w:val="0"/>
                <w:sz w:val="21"/>
                <w:szCs w:val="21"/>
                <w:highlight w:val="none"/>
              </w:rPr>
            </w:pPr>
            <w:bookmarkStart w:id="103" w:name="_Hlk45715578"/>
            <w:r>
              <w:rPr>
                <w:rFonts w:hint="eastAsia" w:ascii="仿宋" w:hAnsi="仿宋" w:eastAsia="仿宋" w:cs="仿宋"/>
                <w:i w:val="0"/>
                <w:iCs w:val="0"/>
                <w:color w:val="000000"/>
                <w:kern w:val="0"/>
                <w:sz w:val="21"/>
                <w:szCs w:val="21"/>
                <w:highlight w:val="none"/>
                <w:u w:val="none"/>
                <w:lang w:val="en-US" w:eastAsia="zh-CN" w:bidi="ar"/>
              </w:rPr>
              <w:t>时间</w:t>
            </w:r>
          </w:p>
        </w:tc>
        <w:tc>
          <w:tcPr>
            <w:tcW w:w="1263" w:type="pct"/>
            <w:vMerge w:val="restart"/>
            <w:tcBorders>
              <w:tl2br w:val="nil"/>
              <w:tr2bl w:val="nil"/>
            </w:tcBorders>
            <w:vAlign w:val="center"/>
          </w:tcPr>
          <w:p w14:paraId="08731F41">
            <w:pPr>
              <w:keepNext w:val="0"/>
              <w:keepLines w:val="0"/>
              <w:widowControl/>
              <w:suppressLineNumbers w:val="0"/>
              <w:jc w:val="center"/>
              <w:textAlignment w:val="center"/>
              <w:rPr>
                <w:rFonts w:hint="eastAsia" w:ascii="仿宋" w:hAnsi="仿宋" w:eastAsia="仿宋" w:cs="仿宋"/>
                <w:kern w:val="0"/>
                <w:sz w:val="21"/>
                <w:szCs w:val="21"/>
                <w:highlight w:val="none"/>
              </w:rPr>
            </w:pPr>
            <w:r>
              <w:rPr>
                <w:rFonts w:hint="eastAsia" w:ascii="仿宋" w:hAnsi="仿宋" w:eastAsia="仿宋" w:cs="仿宋"/>
                <w:i w:val="0"/>
                <w:iCs w:val="0"/>
                <w:color w:val="000000"/>
                <w:kern w:val="0"/>
                <w:sz w:val="21"/>
                <w:szCs w:val="21"/>
                <w:highlight w:val="none"/>
                <w:u w:val="none"/>
                <w:lang w:val="en-US" w:eastAsia="zh-CN" w:bidi="ar"/>
              </w:rPr>
              <w:t>资金使用计划</w:t>
            </w:r>
          </w:p>
        </w:tc>
        <w:tc>
          <w:tcPr>
            <w:tcW w:w="2481" w:type="pct"/>
            <w:gridSpan w:val="2"/>
            <w:tcBorders>
              <w:tl2br w:val="nil"/>
              <w:tr2bl w:val="nil"/>
            </w:tcBorders>
            <w:vAlign w:val="center"/>
          </w:tcPr>
          <w:p w14:paraId="5EA6D838">
            <w:pPr>
              <w:keepNext w:val="0"/>
              <w:keepLines w:val="0"/>
              <w:widowControl/>
              <w:suppressLineNumbers w:val="0"/>
              <w:jc w:val="center"/>
              <w:textAlignment w:val="center"/>
              <w:rPr>
                <w:rFonts w:hint="eastAsia" w:ascii="仿宋" w:hAnsi="仿宋" w:eastAsia="仿宋" w:cs="仿宋"/>
                <w:kern w:val="0"/>
                <w:sz w:val="21"/>
                <w:szCs w:val="21"/>
                <w:highlight w:val="none"/>
              </w:rPr>
            </w:pPr>
            <w:r>
              <w:rPr>
                <w:rFonts w:hint="eastAsia" w:ascii="仿宋" w:hAnsi="仿宋" w:eastAsia="仿宋" w:cs="仿宋"/>
                <w:i w:val="0"/>
                <w:iCs w:val="0"/>
                <w:color w:val="000000"/>
                <w:kern w:val="0"/>
                <w:sz w:val="21"/>
                <w:szCs w:val="21"/>
                <w:highlight w:val="none"/>
                <w:u w:val="none"/>
                <w:lang w:val="en-US" w:eastAsia="zh-CN" w:bidi="ar"/>
              </w:rPr>
              <w:t>资金来源</w:t>
            </w:r>
          </w:p>
        </w:tc>
      </w:tr>
      <w:tr w14:paraId="7C9EA931">
        <w:tblPrEx>
          <w:tblBorders>
            <w:top w:val="single" w:color="auto" w:sz="12" w:space="0"/>
            <w:left w:val="none" w:color="auto" w:sz="0" w:space="0"/>
            <w:bottom w:val="single" w:color="auto" w:sz="12" w:space="0"/>
            <w:right w:val="none" w:color="auto" w:sz="0" w:space="0"/>
            <w:insideH w:val="dotted" w:color="auto" w:sz="4" w:space="0"/>
            <w:insideV w:val="dotted" w:color="auto" w:sz="4" w:space="0"/>
          </w:tblBorders>
          <w:tblCellMar>
            <w:top w:w="0" w:type="dxa"/>
            <w:left w:w="108" w:type="dxa"/>
            <w:bottom w:w="0" w:type="dxa"/>
            <w:right w:w="108" w:type="dxa"/>
          </w:tblCellMar>
        </w:tblPrEx>
        <w:trPr>
          <w:trHeight w:val="351" w:hRule="atLeast"/>
          <w:jc w:val="center"/>
        </w:trPr>
        <w:tc>
          <w:tcPr>
            <w:tcW w:w="1044" w:type="pct"/>
            <w:vMerge w:val="continue"/>
            <w:tcBorders>
              <w:tl2br w:val="nil"/>
              <w:tr2bl w:val="nil"/>
            </w:tcBorders>
            <w:vAlign w:val="center"/>
          </w:tcPr>
          <w:p w14:paraId="60D4F633">
            <w:pPr>
              <w:jc w:val="center"/>
              <w:rPr>
                <w:rFonts w:hint="eastAsia" w:ascii="仿宋" w:hAnsi="仿宋" w:eastAsia="仿宋" w:cs="仿宋"/>
                <w:kern w:val="0"/>
                <w:sz w:val="21"/>
                <w:szCs w:val="21"/>
                <w:highlight w:val="none"/>
              </w:rPr>
            </w:pPr>
          </w:p>
        </w:tc>
        <w:tc>
          <w:tcPr>
            <w:tcW w:w="1263" w:type="pct"/>
            <w:vMerge w:val="continue"/>
            <w:tcBorders>
              <w:tl2br w:val="nil"/>
              <w:tr2bl w:val="nil"/>
            </w:tcBorders>
            <w:vAlign w:val="center"/>
          </w:tcPr>
          <w:p w14:paraId="1363CF73">
            <w:pPr>
              <w:jc w:val="center"/>
              <w:rPr>
                <w:rFonts w:hint="eastAsia" w:ascii="仿宋" w:hAnsi="仿宋" w:eastAsia="仿宋" w:cs="仿宋"/>
                <w:kern w:val="0"/>
                <w:sz w:val="21"/>
                <w:szCs w:val="21"/>
                <w:highlight w:val="none"/>
              </w:rPr>
            </w:pPr>
          </w:p>
        </w:tc>
        <w:tc>
          <w:tcPr>
            <w:tcW w:w="1144" w:type="pct"/>
            <w:tcBorders>
              <w:tl2br w:val="nil"/>
              <w:tr2bl w:val="nil"/>
            </w:tcBorders>
            <w:vAlign w:val="center"/>
          </w:tcPr>
          <w:p w14:paraId="03686F6C">
            <w:pPr>
              <w:keepNext w:val="0"/>
              <w:keepLines w:val="0"/>
              <w:widowControl/>
              <w:suppressLineNumbers w:val="0"/>
              <w:jc w:val="center"/>
              <w:textAlignment w:val="center"/>
              <w:rPr>
                <w:rFonts w:hint="eastAsia" w:ascii="仿宋" w:hAnsi="仿宋" w:eastAsia="仿宋" w:cs="仿宋"/>
                <w:kern w:val="0"/>
                <w:sz w:val="21"/>
                <w:szCs w:val="21"/>
                <w:highlight w:val="none"/>
                <w:lang w:val="en-US" w:eastAsia="zh-CN"/>
              </w:rPr>
            </w:pPr>
            <w:r>
              <w:rPr>
                <w:rFonts w:hint="eastAsia" w:ascii="仿宋" w:hAnsi="仿宋" w:eastAsia="仿宋" w:cs="仿宋"/>
                <w:kern w:val="0"/>
                <w:sz w:val="21"/>
                <w:szCs w:val="21"/>
                <w:highlight w:val="none"/>
                <w:lang w:val="en-US" w:eastAsia="zh-CN"/>
              </w:rPr>
              <w:t>资本金</w:t>
            </w:r>
          </w:p>
        </w:tc>
        <w:tc>
          <w:tcPr>
            <w:tcW w:w="1337" w:type="pct"/>
            <w:tcBorders>
              <w:bottom w:val="dotted" w:color="auto" w:sz="4" w:space="0"/>
              <w:tl2br w:val="nil"/>
              <w:tr2bl w:val="nil"/>
            </w:tcBorders>
            <w:vAlign w:val="center"/>
          </w:tcPr>
          <w:p w14:paraId="7DC9733F">
            <w:pPr>
              <w:keepNext w:val="0"/>
              <w:keepLines w:val="0"/>
              <w:widowControl/>
              <w:suppressLineNumbers w:val="0"/>
              <w:jc w:val="center"/>
              <w:textAlignment w:val="center"/>
              <w:rPr>
                <w:rFonts w:hint="eastAsia" w:ascii="仿宋" w:hAnsi="仿宋" w:eastAsia="仿宋" w:cs="仿宋"/>
                <w:kern w:val="0"/>
                <w:sz w:val="21"/>
                <w:szCs w:val="21"/>
                <w:highlight w:val="none"/>
              </w:rPr>
            </w:pPr>
            <w:r>
              <w:rPr>
                <w:rFonts w:hint="eastAsia" w:ascii="仿宋" w:hAnsi="仿宋" w:eastAsia="仿宋" w:cs="仿宋"/>
                <w:i w:val="0"/>
                <w:iCs w:val="0"/>
                <w:color w:val="000000"/>
                <w:kern w:val="0"/>
                <w:sz w:val="21"/>
                <w:szCs w:val="21"/>
                <w:highlight w:val="none"/>
                <w:u w:val="none"/>
                <w:lang w:val="en-US" w:eastAsia="zh-CN" w:bidi="ar"/>
              </w:rPr>
              <w:t>债券融资</w:t>
            </w:r>
          </w:p>
        </w:tc>
      </w:tr>
      <w:tr w14:paraId="78692E0A">
        <w:tblPrEx>
          <w:tblBorders>
            <w:top w:val="single" w:color="auto" w:sz="12" w:space="0"/>
            <w:left w:val="none" w:color="auto" w:sz="0" w:space="0"/>
            <w:bottom w:val="single" w:color="auto" w:sz="12" w:space="0"/>
            <w:right w:val="none" w:color="auto" w:sz="0" w:space="0"/>
            <w:insideH w:val="dotted" w:color="auto" w:sz="4" w:space="0"/>
            <w:insideV w:val="dotted" w:color="auto" w:sz="4" w:space="0"/>
          </w:tblBorders>
          <w:tblCellMar>
            <w:top w:w="0" w:type="dxa"/>
            <w:left w:w="108" w:type="dxa"/>
            <w:bottom w:w="0" w:type="dxa"/>
            <w:right w:w="108" w:type="dxa"/>
          </w:tblCellMar>
        </w:tblPrEx>
        <w:trPr>
          <w:trHeight w:val="366" w:hRule="atLeast"/>
          <w:jc w:val="center"/>
        </w:trPr>
        <w:tc>
          <w:tcPr>
            <w:tcW w:w="1044" w:type="pct"/>
            <w:tcBorders>
              <w:top w:val="nil"/>
              <w:left w:val="nil"/>
              <w:bottom w:val="dotted" w:color="auto" w:sz="4" w:space="0"/>
              <w:right w:val="dotted" w:color="auto" w:sz="4" w:space="0"/>
            </w:tcBorders>
            <w:shd w:val="clear" w:color="auto" w:fill="auto"/>
            <w:vAlign w:val="center"/>
          </w:tcPr>
          <w:p w14:paraId="4CE53BF1">
            <w:pPr>
              <w:keepNext w:val="0"/>
              <w:keepLines w:val="0"/>
              <w:widowControl/>
              <w:suppressLineNumbers w:val="0"/>
              <w:jc w:val="center"/>
              <w:textAlignment w:val="center"/>
              <w:rPr>
                <w:rFonts w:hint="eastAsia" w:ascii="仿宋" w:hAnsi="仿宋" w:eastAsia="仿宋" w:cs="仿宋"/>
                <w:kern w:val="0"/>
                <w:sz w:val="21"/>
                <w:szCs w:val="21"/>
                <w:highlight w:val="none"/>
              </w:rPr>
            </w:pPr>
            <w:r>
              <w:rPr>
                <w:rFonts w:hint="eastAsia" w:ascii="仿宋" w:hAnsi="仿宋" w:eastAsia="仿宋" w:cs="仿宋"/>
                <w:i w:val="0"/>
                <w:iCs w:val="0"/>
                <w:color w:val="000000"/>
                <w:kern w:val="0"/>
                <w:sz w:val="21"/>
                <w:szCs w:val="21"/>
                <w:u w:val="none"/>
                <w:lang w:val="en-US" w:eastAsia="zh-CN" w:bidi="ar"/>
              </w:rPr>
              <w:t>2025年度</w:t>
            </w:r>
          </w:p>
        </w:tc>
        <w:tc>
          <w:tcPr>
            <w:tcW w:w="1263" w:type="pct"/>
            <w:tcBorders>
              <w:top w:val="dotted" w:color="auto" w:sz="4" w:space="0"/>
              <w:left w:val="nil"/>
              <w:right w:val="dotted" w:color="auto" w:sz="4" w:space="0"/>
            </w:tcBorders>
            <w:shd w:val="clear" w:color="auto" w:fill="auto"/>
            <w:vAlign w:val="center"/>
          </w:tcPr>
          <w:p w14:paraId="6F84F094">
            <w:pPr>
              <w:keepNext w:val="0"/>
              <w:keepLines w:val="0"/>
              <w:widowControl/>
              <w:suppressLineNumbers w:val="0"/>
              <w:jc w:val="center"/>
              <w:textAlignment w:val="center"/>
              <w:rPr>
                <w:rFonts w:hint="eastAsia" w:ascii="仿宋" w:hAnsi="仿宋" w:eastAsia="仿宋" w:cs="仿宋"/>
                <w:sz w:val="21"/>
                <w:szCs w:val="21"/>
                <w:highlight w:val="none"/>
              </w:rPr>
            </w:pPr>
            <w:r>
              <w:rPr>
                <w:rFonts w:hint="eastAsia" w:ascii="仿宋" w:hAnsi="仿宋" w:eastAsia="仿宋" w:cs="仿宋"/>
                <w:sz w:val="21"/>
                <w:szCs w:val="21"/>
                <w:highlight w:val="none"/>
              </w:rPr>
              <w:t xml:space="preserve"> 11,121.88 </w:t>
            </w:r>
          </w:p>
        </w:tc>
        <w:tc>
          <w:tcPr>
            <w:tcW w:w="1144" w:type="pct"/>
            <w:tcBorders>
              <w:top w:val="dotted" w:color="auto" w:sz="4" w:space="0"/>
              <w:left w:val="nil"/>
              <w:bottom w:val="dotted" w:color="auto" w:sz="4" w:space="0"/>
              <w:right w:val="dotted" w:color="auto" w:sz="4" w:space="0"/>
            </w:tcBorders>
            <w:shd w:val="clear" w:color="auto" w:fill="auto"/>
            <w:vAlign w:val="center"/>
          </w:tcPr>
          <w:p w14:paraId="739C4D33">
            <w:pPr>
              <w:keepNext w:val="0"/>
              <w:keepLines w:val="0"/>
              <w:widowControl/>
              <w:suppressLineNumbers w:val="0"/>
              <w:jc w:val="center"/>
              <w:textAlignment w:val="center"/>
              <w:rPr>
                <w:rFonts w:hint="eastAsia" w:ascii="仿宋" w:hAnsi="仿宋" w:eastAsia="仿宋" w:cs="仿宋"/>
                <w:kern w:val="0"/>
                <w:sz w:val="21"/>
                <w:szCs w:val="21"/>
                <w:highlight w:val="none"/>
              </w:rPr>
            </w:pPr>
            <w:r>
              <w:rPr>
                <w:rFonts w:hint="eastAsia" w:ascii="仿宋" w:hAnsi="仿宋" w:eastAsia="仿宋" w:cs="仿宋"/>
                <w:kern w:val="0"/>
                <w:sz w:val="21"/>
                <w:szCs w:val="21"/>
                <w:highlight w:val="none"/>
              </w:rPr>
              <w:t xml:space="preserve"> 1,121.88 </w:t>
            </w:r>
          </w:p>
        </w:tc>
        <w:tc>
          <w:tcPr>
            <w:tcW w:w="1337" w:type="pct"/>
            <w:tcBorders>
              <w:top w:val="dotted" w:color="auto" w:sz="4" w:space="0"/>
              <w:left w:val="nil"/>
              <w:bottom w:val="dotted" w:color="auto" w:sz="4" w:space="0"/>
              <w:right w:val="nil"/>
            </w:tcBorders>
            <w:vAlign w:val="center"/>
          </w:tcPr>
          <w:p w14:paraId="4401B58B">
            <w:pPr>
              <w:keepNext w:val="0"/>
              <w:keepLines w:val="0"/>
              <w:widowControl/>
              <w:suppressLineNumbers w:val="0"/>
              <w:jc w:val="center"/>
              <w:textAlignment w:val="center"/>
              <w:rPr>
                <w:rFonts w:hint="eastAsia" w:ascii="仿宋" w:hAnsi="仿宋" w:eastAsia="仿宋" w:cs="仿宋"/>
                <w:kern w:val="0"/>
                <w:sz w:val="21"/>
                <w:szCs w:val="21"/>
                <w:highlight w:val="none"/>
              </w:rPr>
            </w:pPr>
            <w:r>
              <w:rPr>
                <w:rFonts w:hint="eastAsia" w:ascii="仿宋" w:hAnsi="仿宋" w:eastAsia="仿宋" w:cs="仿宋"/>
                <w:kern w:val="0"/>
                <w:sz w:val="21"/>
                <w:szCs w:val="21"/>
                <w:highlight w:val="none"/>
              </w:rPr>
              <w:t xml:space="preserve"> 10,000.00 </w:t>
            </w:r>
          </w:p>
        </w:tc>
      </w:tr>
      <w:tr w14:paraId="67E6C4D3">
        <w:tblPrEx>
          <w:tblBorders>
            <w:top w:val="single" w:color="auto" w:sz="12" w:space="0"/>
            <w:left w:val="none" w:color="auto" w:sz="0" w:space="0"/>
            <w:bottom w:val="single" w:color="auto" w:sz="12" w:space="0"/>
            <w:right w:val="none" w:color="auto" w:sz="0" w:space="0"/>
            <w:insideH w:val="dotted" w:color="auto" w:sz="4" w:space="0"/>
            <w:insideV w:val="dotted" w:color="auto" w:sz="4" w:space="0"/>
          </w:tblBorders>
          <w:tblCellMar>
            <w:top w:w="0" w:type="dxa"/>
            <w:left w:w="108" w:type="dxa"/>
            <w:bottom w:w="0" w:type="dxa"/>
            <w:right w:w="108" w:type="dxa"/>
          </w:tblCellMar>
        </w:tblPrEx>
        <w:trPr>
          <w:trHeight w:val="342" w:hRule="atLeast"/>
          <w:jc w:val="center"/>
        </w:trPr>
        <w:tc>
          <w:tcPr>
            <w:tcW w:w="1044" w:type="pct"/>
            <w:tcBorders>
              <w:top w:val="nil"/>
              <w:left w:val="nil"/>
              <w:bottom w:val="dotted" w:color="auto" w:sz="4" w:space="0"/>
              <w:right w:val="dotted" w:color="auto" w:sz="4" w:space="0"/>
            </w:tcBorders>
            <w:shd w:val="clear" w:color="auto" w:fill="auto"/>
            <w:vAlign w:val="center"/>
          </w:tcPr>
          <w:p w14:paraId="69486C53">
            <w:pPr>
              <w:keepNext w:val="0"/>
              <w:keepLines w:val="0"/>
              <w:widowControl/>
              <w:suppressLineNumbers w:val="0"/>
              <w:jc w:val="center"/>
              <w:textAlignment w:val="center"/>
              <w:rPr>
                <w:rFonts w:hint="eastAsia" w:ascii="仿宋" w:hAnsi="仿宋" w:eastAsia="仿宋" w:cs="仿宋"/>
                <w:color w:val="000000"/>
                <w:sz w:val="21"/>
                <w:szCs w:val="21"/>
                <w:highlight w:val="none"/>
              </w:rPr>
            </w:pPr>
            <w:r>
              <w:rPr>
                <w:rFonts w:hint="eastAsia" w:ascii="仿宋" w:hAnsi="仿宋" w:eastAsia="仿宋" w:cs="仿宋"/>
                <w:i w:val="0"/>
                <w:iCs w:val="0"/>
                <w:color w:val="000000"/>
                <w:kern w:val="0"/>
                <w:sz w:val="21"/>
                <w:szCs w:val="21"/>
                <w:u w:val="none"/>
                <w:lang w:val="en-US" w:eastAsia="zh-CN" w:bidi="ar"/>
              </w:rPr>
              <w:t>2026年度</w:t>
            </w:r>
          </w:p>
        </w:tc>
        <w:tc>
          <w:tcPr>
            <w:tcW w:w="1263" w:type="pct"/>
            <w:tcBorders>
              <w:top w:val="dotted" w:color="auto" w:sz="4" w:space="0"/>
              <w:left w:val="nil"/>
              <w:right w:val="dotted" w:color="auto" w:sz="4" w:space="0"/>
            </w:tcBorders>
            <w:shd w:val="clear" w:color="auto" w:fill="auto"/>
            <w:vAlign w:val="center"/>
          </w:tcPr>
          <w:p w14:paraId="363F71C0">
            <w:pPr>
              <w:keepNext w:val="0"/>
              <w:keepLines w:val="0"/>
              <w:widowControl/>
              <w:suppressLineNumbers w:val="0"/>
              <w:jc w:val="center"/>
              <w:textAlignment w:val="center"/>
              <w:rPr>
                <w:rFonts w:hint="eastAsia" w:ascii="仿宋" w:hAnsi="仿宋" w:eastAsia="仿宋" w:cs="仿宋"/>
                <w:sz w:val="21"/>
                <w:szCs w:val="21"/>
                <w:highlight w:val="none"/>
              </w:rPr>
            </w:pPr>
            <w:r>
              <w:rPr>
                <w:rFonts w:hint="eastAsia" w:ascii="仿宋" w:hAnsi="仿宋" w:eastAsia="仿宋" w:cs="仿宋"/>
                <w:sz w:val="21"/>
                <w:szCs w:val="21"/>
                <w:highlight w:val="none"/>
              </w:rPr>
              <w:t xml:space="preserve"> 13,000.00 </w:t>
            </w:r>
          </w:p>
        </w:tc>
        <w:tc>
          <w:tcPr>
            <w:tcW w:w="1144" w:type="pct"/>
            <w:tcBorders>
              <w:top w:val="dotted" w:color="auto" w:sz="4" w:space="0"/>
              <w:left w:val="nil"/>
              <w:bottom w:val="dotted" w:color="auto" w:sz="4" w:space="0"/>
              <w:right w:val="dotted" w:color="auto" w:sz="4" w:space="0"/>
            </w:tcBorders>
            <w:shd w:val="clear" w:color="auto" w:fill="auto"/>
            <w:vAlign w:val="center"/>
          </w:tcPr>
          <w:p w14:paraId="72286B20">
            <w:pPr>
              <w:keepNext w:val="0"/>
              <w:keepLines w:val="0"/>
              <w:widowControl/>
              <w:suppressLineNumbers w:val="0"/>
              <w:jc w:val="center"/>
              <w:textAlignment w:val="center"/>
              <w:rPr>
                <w:rFonts w:hint="eastAsia" w:ascii="仿宋" w:hAnsi="仿宋" w:eastAsia="仿宋" w:cs="仿宋"/>
                <w:kern w:val="0"/>
                <w:sz w:val="21"/>
                <w:szCs w:val="21"/>
                <w:highlight w:val="none"/>
                <w:lang w:val="en-US"/>
              </w:rPr>
            </w:pPr>
            <w:r>
              <w:rPr>
                <w:rFonts w:hint="eastAsia" w:ascii="仿宋" w:hAnsi="仿宋" w:eastAsia="仿宋" w:cs="仿宋"/>
                <w:kern w:val="0"/>
                <w:sz w:val="21"/>
                <w:szCs w:val="21"/>
                <w:highlight w:val="none"/>
                <w:lang w:val="en-US"/>
              </w:rPr>
              <w:t xml:space="preserve"> 3,000.00 </w:t>
            </w:r>
          </w:p>
        </w:tc>
        <w:tc>
          <w:tcPr>
            <w:tcW w:w="1337" w:type="pct"/>
            <w:tcBorders>
              <w:top w:val="dotted" w:color="auto" w:sz="4" w:space="0"/>
              <w:left w:val="nil"/>
              <w:bottom w:val="dotted" w:color="auto" w:sz="4" w:space="0"/>
              <w:right w:val="nil"/>
            </w:tcBorders>
            <w:vAlign w:val="center"/>
          </w:tcPr>
          <w:p w14:paraId="5FC8EC1C">
            <w:pPr>
              <w:keepNext w:val="0"/>
              <w:keepLines w:val="0"/>
              <w:widowControl/>
              <w:suppressLineNumbers w:val="0"/>
              <w:jc w:val="center"/>
              <w:textAlignment w:val="center"/>
              <w:rPr>
                <w:rFonts w:hint="eastAsia" w:ascii="仿宋" w:hAnsi="仿宋" w:eastAsia="仿宋" w:cs="仿宋"/>
                <w:kern w:val="0"/>
                <w:sz w:val="21"/>
                <w:szCs w:val="21"/>
                <w:highlight w:val="none"/>
              </w:rPr>
            </w:pPr>
            <w:r>
              <w:rPr>
                <w:rFonts w:hint="eastAsia" w:ascii="仿宋" w:hAnsi="仿宋" w:eastAsia="仿宋" w:cs="仿宋"/>
                <w:kern w:val="0"/>
                <w:sz w:val="21"/>
                <w:szCs w:val="21"/>
                <w:highlight w:val="none"/>
              </w:rPr>
              <w:t xml:space="preserve"> 10,000.00 </w:t>
            </w:r>
          </w:p>
        </w:tc>
      </w:tr>
      <w:tr w14:paraId="1B5C2232">
        <w:tblPrEx>
          <w:tblBorders>
            <w:top w:val="single" w:color="auto" w:sz="12" w:space="0"/>
            <w:left w:val="none" w:color="auto" w:sz="0" w:space="0"/>
            <w:bottom w:val="single" w:color="auto" w:sz="12" w:space="0"/>
            <w:right w:val="none" w:color="auto" w:sz="0" w:space="0"/>
            <w:insideH w:val="dotted" w:color="auto" w:sz="4" w:space="0"/>
            <w:insideV w:val="dotted" w:color="auto" w:sz="4" w:space="0"/>
          </w:tblBorders>
          <w:tblCellMar>
            <w:top w:w="0" w:type="dxa"/>
            <w:left w:w="108" w:type="dxa"/>
            <w:bottom w:w="0" w:type="dxa"/>
            <w:right w:w="108" w:type="dxa"/>
          </w:tblCellMar>
        </w:tblPrEx>
        <w:trPr>
          <w:trHeight w:val="342" w:hRule="atLeast"/>
          <w:jc w:val="center"/>
        </w:trPr>
        <w:tc>
          <w:tcPr>
            <w:tcW w:w="1044" w:type="pct"/>
            <w:tcBorders>
              <w:top w:val="nil"/>
              <w:left w:val="nil"/>
              <w:bottom w:val="dotted" w:color="auto" w:sz="4" w:space="0"/>
              <w:right w:val="dotted" w:color="auto" w:sz="4" w:space="0"/>
            </w:tcBorders>
            <w:shd w:val="clear" w:color="auto" w:fill="auto"/>
            <w:vAlign w:val="center"/>
          </w:tcPr>
          <w:p w14:paraId="374A243D">
            <w:pPr>
              <w:keepNext w:val="0"/>
              <w:keepLines w:val="0"/>
              <w:widowControl/>
              <w:suppressLineNumbers w:val="0"/>
              <w:jc w:val="center"/>
              <w:textAlignment w:val="center"/>
              <w:rPr>
                <w:rStyle w:val="14"/>
                <w:rFonts w:hint="eastAsia" w:ascii="仿宋" w:hAnsi="仿宋" w:eastAsia="仿宋" w:cs="仿宋"/>
                <w:sz w:val="21"/>
                <w:szCs w:val="21"/>
                <w:highlight w:val="yellow"/>
                <w:lang w:val="en-US" w:eastAsia="zh-CN" w:bidi="ar"/>
              </w:rPr>
            </w:pPr>
            <w:r>
              <w:rPr>
                <w:rFonts w:hint="eastAsia" w:ascii="仿宋" w:hAnsi="仿宋" w:eastAsia="仿宋" w:cs="仿宋"/>
                <w:i w:val="0"/>
                <w:iCs w:val="0"/>
                <w:color w:val="000000"/>
                <w:kern w:val="0"/>
                <w:sz w:val="21"/>
                <w:szCs w:val="21"/>
                <w:u w:val="none"/>
                <w:lang w:val="en-US" w:eastAsia="zh-CN" w:bidi="ar"/>
              </w:rPr>
              <w:t>2027年度</w:t>
            </w:r>
          </w:p>
        </w:tc>
        <w:tc>
          <w:tcPr>
            <w:tcW w:w="1263" w:type="pct"/>
            <w:tcBorders>
              <w:top w:val="dotted" w:color="auto" w:sz="4" w:space="0"/>
              <w:left w:val="nil"/>
              <w:right w:val="dotted" w:color="auto" w:sz="4" w:space="0"/>
            </w:tcBorders>
            <w:shd w:val="clear" w:color="auto" w:fill="auto"/>
            <w:vAlign w:val="center"/>
          </w:tcPr>
          <w:p w14:paraId="23F89991">
            <w:pPr>
              <w:keepNext w:val="0"/>
              <w:keepLines w:val="0"/>
              <w:widowControl/>
              <w:suppressLineNumbers w:val="0"/>
              <w:jc w:val="center"/>
              <w:textAlignment w:val="center"/>
              <w:rPr>
                <w:rFonts w:hint="eastAsia" w:ascii="仿宋" w:hAnsi="仿宋" w:eastAsia="仿宋" w:cs="仿宋"/>
                <w:i w:val="0"/>
                <w:iCs w:val="0"/>
                <w:color w:val="000000"/>
                <w:kern w:val="0"/>
                <w:sz w:val="21"/>
                <w:szCs w:val="21"/>
                <w:highlight w:val="none"/>
                <w:u w:val="none"/>
                <w:lang w:val="en-US" w:eastAsia="zh-CN" w:bidi="ar"/>
              </w:rPr>
            </w:pPr>
            <w:r>
              <w:rPr>
                <w:rFonts w:hint="eastAsia" w:ascii="仿宋" w:hAnsi="仿宋" w:eastAsia="仿宋" w:cs="仿宋"/>
                <w:i w:val="0"/>
                <w:iCs w:val="0"/>
                <w:color w:val="000000"/>
                <w:kern w:val="0"/>
                <w:sz w:val="21"/>
                <w:szCs w:val="21"/>
                <w:highlight w:val="none"/>
                <w:u w:val="none"/>
                <w:lang w:val="en-US" w:eastAsia="zh-CN" w:bidi="ar"/>
              </w:rPr>
              <w:t xml:space="preserve"> 13,000.00 </w:t>
            </w:r>
          </w:p>
        </w:tc>
        <w:tc>
          <w:tcPr>
            <w:tcW w:w="1144" w:type="pct"/>
            <w:tcBorders>
              <w:top w:val="dotted" w:color="auto" w:sz="4" w:space="0"/>
              <w:left w:val="nil"/>
              <w:bottom w:val="dotted" w:color="auto" w:sz="4" w:space="0"/>
              <w:right w:val="dotted" w:color="auto" w:sz="4" w:space="0"/>
            </w:tcBorders>
            <w:shd w:val="clear" w:color="auto" w:fill="auto"/>
            <w:vAlign w:val="center"/>
          </w:tcPr>
          <w:p w14:paraId="43376D02">
            <w:pPr>
              <w:keepNext w:val="0"/>
              <w:keepLines w:val="0"/>
              <w:widowControl/>
              <w:suppressLineNumbers w:val="0"/>
              <w:jc w:val="center"/>
              <w:textAlignment w:val="center"/>
              <w:rPr>
                <w:rFonts w:hint="eastAsia" w:ascii="仿宋" w:hAnsi="仿宋" w:eastAsia="仿宋" w:cs="仿宋"/>
                <w:i w:val="0"/>
                <w:iCs w:val="0"/>
                <w:color w:val="000000"/>
                <w:kern w:val="0"/>
                <w:sz w:val="21"/>
                <w:szCs w:val="21"/>
                <w:highlight w:val="none"/>
                <w:u w:val="none"/>
                <w:lang w:val="en-US" w:eastAsia="zh-CN" w:bidi="ar"/>
              </w:rPr>
            </w:pPr>
            <w:r>
              <w:rPr>
                <w:rFonts w:hint="eastAsia" w:ascii="仿宋" w:hAnsi="仿宋" w:eastAsia="仿宋" w:cs="仿宋"/>
                <w:i w:val="0"/>
                <w:iCs w:val="0"/>
                <w:color w:val="000000"/>
                <w:kern w:val="0"/>
                <w:sz w:val="21"/>
                <w:szCs w:val="21"/>
                <w:highlight w:val="none"/>
                <w:u w:val="none"/>
                <w:lang w:val="en-US" w:eastAsia="zh-CN" w:bidi="ar"/>
              </w:rPr>
              <w:t xml:space="preserve"> 3,000.00 </w:t>
            </w:r>
          </w:p>
        </w:tc>
        <w:tc>
          <w:tcPr>
            <w:tcW w:w="1337" w:type="pct"/>
            <w:tcBorders>
              <w:top w:val="dotted" w:color="auto" w:sz="4" w:space="0"/>
              <w:left w:val="nil"/>
              <w:bottom w:val="dotted" w:color="auto" w:sz="4" w:space="0"/>
              <w:right w:val="nil"/>
            </w:tcBorders>
            <w:vAlign w:val="center"/>
          </w:tcPr>
          <w:p w14:paraId="34AE990D">
            <w:pPr>
              <w:keepNext w:val="0"/>
              <w:keepLines w:val="0"/>
              <w:widowControl/>
              <w:suppressLineNumbers w:val="0"/>
              <w:jc w:val="center"/>
              <w:textAlignment w:val="center"/>
              <w:rPr>
                <w:rFonts w:hint="eastAsia" w:ascii="仿宋" w:hAnsi="仿宋" w:eastAsia="仿宋" w:cs="仿宋"/>
                <w:i w:val="0"/>
                <w:iCs w:val="0"/>
                <w:color w:val="000000"/>
                <w:kern w:val="0"/>
                <w:sz w:val="21"/>
                <w:szCs w:val="21"/>
                <w:highlight w:val="yellow"/>
                <w:u w:val="none"/>
                <w:lang w:val="en-US" w:eastAsia="zh-CN" w:bidi="ar"/>
              </w:rPr>
            </w:pPr>
            <w:r>
              <w:rPr>
                <w:rFonts w:hint="eastAsia" w:ascii="仿宋" w:hAnsi="仿宋" w:eastAsia="仿宋" w:cs="仿宋"/>
                <w:kern w:val="0"/>
                <w:sz w:val="21"/>
                <w:szCs w:val="21"/>
                <w:highlight w:val="none"/>
              </w:rPr>
              <w:t xml:space="preserve"> 10,000.00 </w:t>
            </w:r>
          </w:p>
        </w:tc>
      </w:tr>
      <w:tr w14:paraId="7CE05CB2">
        <w:tblPrEx>
          <w:tblBorders>
            <w:top w:val="single" w:color="auto" w:sz="12" w:space="0"/>
            <w:left w:val="none" w:color="auto" w:sz="0" w:space="0"/>
            <w:bottom w:val="single" w:color="auto" w:sz="12" w:space="0"/>
            <w:right w:val="none" w:color="auto" w:sz="0" w:space="0"/>
            <w:insideH w:val="dotted" w:color="auto" w:sz="4" w:space="0"/>
            <w:insideV w:val="dotted" w:color="auto" w:sz="4" w:space="0"/>
          </w:tblBorders>
          <w:tblCellMar>
            <w:top w:w="0" w:type="dxa"/>
            <w:left w:w="108" w:type="dxa"/>
            <w:bottom w:w="0" w:type="dxa"/>
            <w:right w:w="108" w:type="dxa"/>
          </w:tblCellMar>
        </w:tblPrEx>
        <w:trPr>
          <w:trHeight w:val="342" w:hRule="atLeast"/>
          <w:jc w:val="center"/>
        </w:trPr>
        <w:tc>
          <w:tcPr>
            <w:tcW w:w="1044" w:type="pct"/>
            <w:tcBorders>
              <w:top w:val="nil"/>
              <w:left w:val="nil"/>
              <w:bottom w:val="dotted" w:color="auto" w:sz="4" w:space="0"/>
              <w:right w:val="dotted" w:color="auto" w:sz="4" w:space="0"/>
            </w:tcBorders>
            <w:shd w:val="clear" w:color="auto" w:fill="auto"/>
            <w:vAlign w:val="center"/>
          </w:tcPr>
          <w:p w14:paraId="7E2C5908">
            <w:pPr>
              <w:keepNext w:val="0"/>
              <w:keepLines w:val="0"/>
              <w:widowControl/>
              <w:suppressLineNumbers w:val="0"/>
              <w:jc w:val="center"/>
              <w:textAlignment w:val="center"/>
              <w:rPr>
                <w:rStyle w:val="15"/>
                <w:rFonts w:hint="eastAsia" w:ascii="仿宋" w:hAnsi="仿宋" w:eastAsia="仿宋" w:cs="仿宋"/>
                <w:sz w:val="21"/>
                <w:szCs w:val="21"/>
                <w:highlight w:val="yellow"/>
                <w:lang w:val="en-US" w:eastAsia="zh-CN" w:bidi="ar"/>
              </w:rPr>
            </w:pPr>
            <w:r>
              <w:rPr>
                <w:rFonts w:hint="eastAsia" w:ascii="仿宋" w:hAnsi="仿宋" w:eastAsia="仿宋" w:cs="仿宋"/>
                <w:i w:val="0"/>
                <w:iCs w:val="0"/>
                <w:color w:val="000000"/>
                <w:kern w:val="0"/>
                <w:sz w:val="21"/>
                <w:szCs w:val="21"/>
                <w:u w:val="none"/>
                <w:lang w:val="en-US" w:eastAsia="zh-CN" w:bidi="ar"/>
              </w:rPr>
              <w:t>2028年度</w:t>
            </w:r>
          </w:p>
        </w:tc>
        <w:tc>
          <w:tcPr>
            <w:tcW w:w="1263" w:type="pct"/>
            <w:tcBorders>
              <w:top w:val="dotted" w:color="auto" w:sz="4" w:space="0"/>
              <w:left w:val="nil"/>
              <w:right w:val="dotted" w:color="auto" w:sz="4" w:space="0"/>
            </w:tcBorders>
            <w:shd w:val="clear" w:color="auto" w:fill="auto"/>
            <w:vAlign w:val="center"/>
          </w:tcPr>
          <w:p w14:paraId="3E58A9DC">
            <w:pPr>
              <w:keepNext w:val="0"/>
              <w:keepLines w:val="0"/>
              <w:widowControl/>
              <w:suppressLineNumbers w:val="0"/>
              <w:jc w:val="center"/>
              <w:textAlignment w:val="center"/>
              <w:rPr>
                <w:rFonts w:hint="eastAsia" w:ascii="仿宋" w:hAnsi="仿宋" w:eastAsia="仿宋" w:cs="仿宋"/>
                <w:i w:val="0"/>
                <w:iCs w:val="0"/>
                <w:color w:val="000000"/>
                <w:kern w:val="0"/>
                <w:sz w:val="21"/>
                <w:szCs w:val="21"/>
                <w:highlight w:val="none"/>
                <w:u w:val="none"/>
                <w:lang w:val="en-US" w:eastAsia="zh-CN" w:bidi="ar"/>
              </w:rPr>
            </w:pPr>
            <w:r>
              <w:rPr>
                <w:rFonts w:hint="eastAsia" w:ascii="仿宋" w:hAnsi="仿宋" w:eastAsia="仿宋" w:cs="仿宋"/>
                <w:i w:val="0"/>
                <w:iCs w:val="0"/>
                <w:color w:val="000000"/>
                <w:kern w:val="0"/>
                <w:sz w:val="21"/>
                <w:szCs w:val="21"/>
                <w:highlight w:val="none"/>
                <w:u w:val="none"/>
                <w:lang w:val="en-US" w:eastAsia="zh-CN" w:bidi="ar"/>
              </w:rPr>
              <w:t xml:space="preserve"> 13,000.00 </w:t>
            </w:r>
          </w:p>
        </w:tc>
        <w:tc>
          <w:tcPr>
            <w:tcW w:w="1144" w:type="pct"/>
            <w:tcBorders>
              <w:top w:val="dotted" w:color="auto" w:sz="4" w:space="0"/>
              <w:left w:val="nil"/>
              <w:bottom w:val="dotted" w:color="auto" w:sz="4" w:space="0"/>
              <w:right w:val="dotted" w:color="auto" w:sz="4" w:space="0"/>
            </w:tcBorders>
            <w:shd w:val="clear" w:color="auto" w:fill="auto"/>
            <w:vAlign w:val="center"/>
          </w:tcPr>
          <w:p w14:paraId="22C03764">
            <w:pPr>
              <w:keepNext w:val="0"/>
              <w:keepLines w:val="0"/>
              <w:widowControl/>
              <w:suppressLineNumbers w:val="0"/>
              <w:jc w:val="center"/>
              <w:textAlignment w:val="center"/>
              <w:rPr>
                <w:rFonts w:hint="eastAsia" w:ascii="仿宋" w:hAnsi="仿宋" w:eastAsia="仿宋" w:cs="仿宋"/>
                <w:i w:val="0"/>
                <w:iCs w:val="0"/>
                <w:color w:val="000000"/>
                <w:kern w:val="0"/>
                <w:sz w:val="21"/>
                <w:szCs w:val="21"/>
                <w:highlight w:val="none"/>
                <w:u w:val="none"/>
                <w:lang w:val="en-US" w:eastAsia="zh-CN" w:bidi="ar"/>
              </w:rPr>
            </w:pPr>
            <w:r>
              <w:rPr>
                <w:rFonts w:hint="eastAsia" w:ascii="仿宋" w:hAnsi="仿宋" w:eastAsia="仿宋" w:cs="仿宋"/>
                <w:i w:val="0"/>
                <w:iCs w:val="0"/>
                <w:color w:val="000000"/>
                <w:kern w:val="0"/>
                <w:sz w:val="21"/>
                <w:szCs w:val="21"/>
                <w:highlight w:val="none"/>
                <w:u w:val="none"/>
                <w:lang w:val="en-US" w:eastAsia="zh-CN" w:bidi="ar"/>
              </w:rPr>
              <w:t xml:space="preserve"> 4,000.00 </w:t>
            </w:r>
          </w:p>
        </w:tc>
        <w:tc>
          <w:tcPr>
            <w:tcW w:w="1337" w:type="pct"/>
            <w:tcBorders>
              <w:top w:val="dotted" w:color="auto" w:sz="4" w:space="0"/>
              <w:left w:val="nil"/>
              <w:bottom w:val="dotted" w:color="auto" w:sz="4" w:space="0"/>
              <w:right w:val="nil"/>
            </w:tcBorders>
            <w:vAlign w:val="center"/>
          </w:tcPr>
          <w:p w14:paraId="0224234F">
            <w:pPr>
              <w:keepNext w:val="0"/>
              <w:keepLines w:val="0"/>
              <w:widowControl/>
              <w:suppressLineNumbers w:val="0"/>
              <w:jc w:val="center"/>
              <w:textAlignment w:val="center"/>
              <w:rPr>
                <w:rFonts w:hint="eastAsia" w:ascii="仿宋" w:hAnsi="仿宋" w:eastAsia="仿宋" w:cs="仿宋"/>
                <w:i w:val="0"/>
                <w:iCs w:val="0"/>
                <w:color w:val="000000"/>
                <w:kern w:val="0"/>
                <w:sz w:val="21"/>
                <w:szCs w:val="21"/>
                <w:highlight w:val="yellow"/>
                <w:u w:val="none"/>
                <w:lang w:val="en-US" w:eastAsia="zh-CN" w:bidi="ar"/>
              </w:rPr>
            </w:pPr>
            <w:r>
              <w:rPr>
                <w:rFonts w:hint="eastAsia" w:ascii="仿宋" w:hAnsi="仿宋" w:eastAsia="仿宋" w:cs="仿宋"/>
                <w:kern w:val="0"/>
                <w:sz w:val="21"/>
                <w:szCs w:val="21"/>
                <w:highlight w:val="none"/>
              </w:rPr>
              <w:t xml:space="preserve"> 10,000.00 </w:t>
            </w:r>
          </w:p>
        </w:tc>
      </w:tr>
      <w:tr w14:paraId="2BBA1170">
        <w:tblPrEx>
          <w:tblBorders>
            <w:top w:val="single" w:color="auto" w:sz="12" w:space="0"/>
            <w:left w:val="none" w:color="auto" w:sz="0" w:space="0"/>
            <w:bottom w:val="single" w:color="auto" w:sz="12" w:space="0"/>
            <w:right w:val="none" w:color="auto" w:sz="0" w:space="0"/>
            <w:insideH w:val="dotted" w:color="auto" w:sz="4" w:space="0"/>
            <w:insideV w:val="dotted" w:color="auto" w:sz="4" w:space="0"/>
          </w:tblBorders>
          <w:tblCellMar>
            <w:top w:w="0" w:type="dxa"/>
            <w:left w:w="108" w:type="dxa"/>
            <w:bottom w:w="0" w:type="dxa"/>
            <w:right w:w="108" w:type="dxa"/>
          </w:tblCellMar>
        </w:tblPrEx>
        <w:trPr>
          <w:trHeight w:val="342" w:hRule="atLeast"/>
          <w:jc w:val="center"/>
        </w:trPr>
        <w:tc>
          <w:tcPr>
            <w:tcW w:w="1044" w:type="pct"/>
            <w:tcBorders>
              <w:tl2br w:val="nil"/>
              <w:tr2bl w:val="nil"/>
            </w:tcBorders>
            <w:vAlign w:val="center"/>
          </w:tcPr>
          <w:p w14:paraId="71B47ABE">
            <w:pPr>
              <w:keepNext w:val="0"/>
              <w:keepLines w:val="0"/>
              <w:widowControl/>
              <w:suppressLineNumbers w:val="0"/>
              <w:jc w:val="center"/>
              <w:textAlignment w:val="center"/>
              <w:rPr>
                <w:rFonts w:hint="eastAsia" w:ascii="仿宋" w:hAnsi="仿宋" w:eastAsia="仿宋" w:cs="仿宋"/>
                <w:kern w:val="0"/>
                <w:sz w:val="21"/>
                <w:szCs w:val="21"/>
                <w:highlight w:val="yellow"/>
              </w:rPr>
            </w:pPr>
            <w:r>
              <w:rPr>
                <w:rFonts w:hint="eastAsia" w:ascii="仿宋" w:hAnsi="仿宋" w:eastAsia="仿宋" w:cs="仿宋"/>
                <w:i w:val="0"/>
                <w:iCs w:val="0"/>
                <w:color w:val="000000"/>
                <w:kern w:val="0"/>
                <w:sz w:val="21"/>
                <w:szCs w:val="21"/>
                <w:u w:val="none"/>
                <w:lang w:val="en-US" w:eastAsia="zh-CN" w:bidi="ar"/>
              </w:rPr>
              <w:t>合计</w:t>
            </w:r>
          </w:p>
        </w:tc>
        <w:tc>
          <w:tcPr>
            <w:tcW w:w="1263" w:type="pct"/>
            <w:tcBorders>
              <w:tl2br w:val="nil"/>
              <w:tr2bl w:val="nil"/>
            </w:tcBorders>
            <w:vAlign w:val="center"/>
          </w:tcPr>
          <w:p w14:paraId="62A2F46B">
            <w:pPr>
              <w:keepNext w:val="0"/>
              <w:keepLines w:val="0"/>
              <w:widowControl/>
              <w:suppressLineNumbers w:val="0"/>
              <w:jc w:val="center"/>
              <w:textAlignment w:val="center"/>
              <w:rPr>
                <w:rFonts w:hint="eastAsia" w:ascii="仿宋" w:hAnsi="仿宋" w:eastAsia="仿宋" w:cs="仿宋"/>
                <w:kern w:val="0"/>
                <w:sz w:val="21"/>
                <w:szCs w:val="21"/>
                <w:highlight w:val="yellow"/>
              </w:rPr>
            </w:pPr>
            <w:r>
              <w:rPr>
                <w:rFonts w:hint="eastAsia" w:ascii="仿宋" w:hAnsi="仿宋" w:eastAsia="仿宋" w:cs="仿宋"/>
                <w:kern w:val="0"/>
                <w:sz w:val="21"/>
                <w:szCs w:val="21"/>
                <w:highlight w:val="none"/>
              </w:rPr>
              <w:t>51,121.88</w:t>
            </w:r>
          </w:p>
        </w:tc>
        <w:tc>
          <w:tcPr>
            <w:tcW w:w="1144" w:type="pct"/>
            <w:tcBorders>
              <w:tl2br w:val="nil"/>
              <w:tr2bl w:val="nil"/>
            </w:tcBorders>
            <w:vAlign w:val="center"/>
          </w:tcPr>
          <w:p w14:paraId="04C5400D">
            <w:pPr>
              <w:keepNext w:val="0"/>
              <w:keepLines w:val="0"/>
              <w:widowControl/>
              <w:suppressLineNumbers w:val="0"/>
              <w:jc w:val="center"/>
              <w:textAlignment w:val="center"/>
              <w:rPr>
                <w:rFonts w:hint="eastAsia" w:ascii="仿宋" w:hAnsi="仿宋" w:eastAsia="仿宋" w:cs="仿宋"/>
                <w:kern w:val="0"/>
                <w:sz w:val="21"/>
                <w:szCs w:val="21"/>
                <w:highlight w:val="none"/>
              </w:rPr>
            </w:pPr>
            <w:r>
              <w:rPr>
                <w:rFonts w:hint="eastAsia" w:ascii="仿宋" w:hAnsi="仿宋" w:eastAsia="仿宋" w:cs="仿宋"/>
                <w:kern w:val="0"/>
                <w:sz w:val="21"/>
                <w:szCs w:val="21"/>
                <w:highlight w:val="none"/>
              </w:rPr>
              <w:t xml:space="preserve"> 11,121.88 </w:t>
            </w:r>
          </w:p>
        </w:tc>
        <w:tc>
          <w:tcPr>
            <w:tcW w:w="1337" w:type="pct"/>
            <w:tcBorders>
              <w:tl2br w:val="nil"/>
              <w:tr2bl w:val="nil"/>
            </w:tcBorders>
            <w:vAlign w:val="center"/>
          </w:tcPr>
          <w:p w14:paraId="67170904">
            <w:pPr>
              <w:keepNext w:val="0"/>
              <w:keepLines w:val="0"/>
              <w:widowControl/>
              <w:suppressLineNumbers w:val="0"/>
              <w:jc w:val="center"/>
              <w:textAlignment w:val="center"/>
              <w:rPr>
                <w:rFonts w:hint="eastAsia" w:ascii="仿宋" w:hAnsi="仿宋" w:eastAsia="仿宋" w:cs="仿宋"/>
                <w:kern w:val="0"/>
                <w:sz w:val="21"/>
                <w:szCs w:val="21"/>
                <w:highlight w:val="none"/>
              </w:rPr>
            </w:pPr>
            <w:r>
              <w:rPr>
                <w:rFonts w:hint="eastAsia" w:ascii="仿宋" w:hAnsi="仿宋" w:eastAsia="仿宋" w:cs="仿宋"/>
                <w:kern w:val="0"/>
                <w:sz w:val="21"/>
                <w:szCs w:val="21"/>
                <w:highlight w:val="none"/>
              </w:rPr>
              <w:t xml:space="preserve"> 40,000.00 </w:t>
            </w:r>
          </w:p>
        </w:tc>
      </w:tr>
      <w:bookmarkEnd w:id="103"/>
    </w:tbl>
    <w:p w14:paraId="38A7C5A1">
      <w:pPr>
        <w:pStyle w:val="11"/>
        <w:rPr>
          <w:rFonts w:hint="eastAsia"/>
          <w:lang w:val="en-US" w:eastAsia="zh-CN"/>
        </w:rPr>
      </w:pPr>
    </w:p>
    <w:p w14:paraId="69309332">
      <w:pPr>
        <w:keepNext/>
        <w:keepLines/>
        <w:pageBreakBefore w:val="0"/>
        <w:widowControl w:val="0"/>
        <w:tabs>
          <w:tab w:val="left" w:pos="0"/>
          <w:tab w:val="left" w:pos="3285"/>
        </w:tabs>
        <w:kinsoku/>
        <w:wordWrap/>
        <w:overflowPunct/>
        <w:topLinePunct w:val="0"/>
        <w:autoSpaceDE/>
        <w:autoSpaceDN/>
        <w:bidi w:val="0"/>
        <w:adjustRightInd/>
        <w:snapToGrid/>
        <w:spacing w:before="10" w:beforeLines="0" w:beforeAutospacing="0" w:after="10" w:afterLines="0" w:afterAutospacing="0" w:line="360" w:lineRule="auto"/>
        <w:jc w:val="both"/>
        <w:textAlignment w:val="auto"/>
        <w:outlineLvl w:val="0"/>
        <w:rPr>
          <w:rFonts w:hint="default" w:ascii="Calibri" w:hAnsi="Calibri" w:eastAsia="宋体" w:cs="Times New Roman"/>
          <w:b/>
          <w:bCs/>
          <w:kern w:val="44"/>
          <w:sz w:val="32"/>
          <w:szCs w:val="32"/>
          <w:lang w:val="en-US" w:eastAsia="zh-CN" w:bidi="ar-SA"/>
        </w:rPr>
      </w:pPr>
      <w:bookmarkStart w:id="104" w:name="_Toc10932"/>
      <w:bookmarkStart w:id="105" w:name="_Toc12430_WPSOffice_Level1"/>
      <w:bookmarkStart w:id="106" w:name="_Toc21189"/>
      <w:bookmarkStart w:id="107" w:name="_Toc5580"/>
      <w:bookmarkStart w:id="108" w:name="_Toc9883"/>
      <w:bookmarkStart w:id="109" w:name="_Toc22289"/>
      <w:bookmarkStart w:id="110" w:name="_Toc32172"/>
      <w:bookmarkStart w:id="111" w:name="_Toc8507"/>
      <w:bookmarkStart w:id="112" w:name="_Toc4442_WPSOffice_Level1"/>
      <w:bookmarkStart w:id="113" w:name="_Toc12097"/>
      <w:bookmarkStart w:id="114" w:name="_Toc15569"/>
      <w:bookmarkStart w:id="115" w:name="_Toc27630"/>
      <w:bookmarkStart w:id="116" w:name="_Toc11684"/>
      <w:r>
        <w:rPr>
          <w:rFonts w:hint="eastAsia" w:ascii="Calibri" w:hAnsi="Calibri" w:eastAsia="宋体" w:cs="Times New Roman"/>
          <w:b/>
          <w:bCs/>
          <w:kern w:val="44"/>
          <w:sz w:val="32"/>
          <w:szCs w:val="32"/>
          <w:lang w:val="en-US" w:eastAsia="zh-CN" w:bidi="ar-SA"/>
        </w:rPr>
        <w:t>四、</w:t>
      </w:r>
      <w:r>
        <w:rPr>
          <w:rFonts w:hint="default" w:ascii="Calibri" w:hAnsi="Calibri" w:eastAsia="宋体" w:cs="Times New Roman"/>
          <w:b/>
          <w:bCs/>
          <w:kern w:val="44"/>
          <w:sz w:val="32"/>
          <w:szCs w:val="32"/>
          <w:lang w:val="en-US" w:eastAsia="zh-CN" w:bidi="ar-SA"/>
        </w:rPr>
        <w:t>项目预期收益、成本及融资平衡情况</w:t>
      </w:r>
      <w:bookmarkEnd w:id="104"/>
      <w:bookmarkEnd w:id="105"/>
      <w:bookmarkEnd w:id="106"/>
      <w:bookmarkEnd w:id="107"/>
      <w:bookmarkEnd w:id="108"/>
      <w:bookmarkEnd w:id="109"/>
      <w:bookmarkEnd w:id="110"/>
      <w:bookmarkEnd w:id="111"/>
      <w:bookmarkEnd w:id="112"/>
      <w:bookmarkEnd w:id="113"/>
      <w:bookmarkEnd w:id="114"/>
      <w:bookmarkEnd w:id="115"/>
      <w:bookmarkEnd w:id="116"/>
    </w:p>
    <w:p w14:paraId="33034364">
      <w:pPr>
        <w:keepNext/>
        <w:keepLines/>
        <w:pageBreakBefore w:val="0"/>
        <w:widowControl w:val="0"/>
        <w:numPr>
          <w:ilvl w:val="1"/>
          <w:numId w:val="0"/>
        </w:numPr>
        <w:tabs>
          <w:tab w:val="left" w:pos="0"/>
          <w:tab w:val="left" w:pos="3285"/>
        </w:tabs>
        <w:kinsoku/>
        <w:wordWrap/>
        <w:overflowPunct/>
        <w:topLinePunct w:val="0"/>
        <w:autoSpaceDE/>
        <w:autoSpaceDN/>
        <w:bidi w:val="0"/>
        <w:adjustRightInd/>
        <w:snapToGrid/>
        <w:spacing w:before="0" w:beforeLines="0" w:beforeAutospacing="0" w:after="0" w:afterLines="0" w:afterAutospacing="0" w:line="360" w:lineRule="auto"/>
        <w:jc w:val="both"/>
        <w:textAlignment w:val="auto"/>
        <w:outlineLvl w:val="1"/>
        <w:rPr>
          <w:rFonts w:hint="default" w:ascii="Arial" w:hAnsi="Arial" w:eastAsia="楷体" w:cs="Times New Roman"/>
          <w:b/>
          <w:bCs/>
          <w:kern w:val="2"/>
          <w:sz w:val="32"/>
          <w:szCs w:val="24"/>
          <w:lang w:val="en-US" w:eastAsia="zh-CN" w:bidi="ar-SA"/>
        </w:rPr>
      </w:pPr>
      <w:bookmarkStart w:id="117" w:name="_Toc19682"/>
      <w:bookmarkStart w:id="118" w:name="_Toc24326_WPSOffice_Level2"/>
      <w:bookmarkStart w:id="119" w:name="_Toc29808"/>
      <w:bookmarkStart w:id="120" w:name="_Toc1412"/>
      <w:bookmarkStart w:id="121" w:name="_Toc20775"/>
      <w:bookmarkStart w:id="122" w:name="_Toc6628"/>
      <w:bookmarkStart w:id="123" w:name="_Toc32686"/>
      <w:bookmarkStart w:id="124" w:name="_Toc31285"/>
      <w:bookmarkStart w:id="125" w:name="_Toc15620_WPSOffice_Level2"/>
      <w:bookmarkStart w:id="126" w:name="_Toc7276"/>
      <w:bookmarkStart w:id="127" w:name="_Toc27579"/>
      <w:bookmarkStart w:id="128" w:name="_Toc1801"/>
      <w:bookmarkStart w:id="129" w:name="_Toc411"/>
      <w:bookmarkStart w:id="130" w:name="_Toc22966"/>
      <w:bookmarkStart w:id="131" w:name="_Toc19662"/>
      <w:r>
        <w:rPr>
          <w:rFonts w:hint="eastAsia" w:ascii="Arial" w:hAnsi="Arial" w:eastAsia="楷体" w:cs="Times New Roman"/>
          <w:b/>
          <w:bCs/>
          <w:kern w:val="2"/>
          <w:sz w:val="32"/>
          <w:szCs w:val="24"/>
          <w:lang w:val="en-US" w:eastAsia="zh-CN" w:bidi="ar-SA"/>
        </w:rPr>
        <w:t>（一）</w:t>
      </w:r>
      <w:r>
        <w:rPr>
          <w:rFonts w:hint="default" w:ascii="Arial" w:hAnsi="Arial" w:eastAsia="楷体" w:cs="Times New Roman"/>
          <w:b/>
          <w:bCs/>
          <w:kern w:val="2"/>
          <w:sz w:val="32"/>
          <w:szCs w:val="24"/>
          <w:lang w:val="en-US" w:eastAsia="zh-CN" w:bidi="ar-SA"/>
        </w:rPr>
        <w:t>预期收益</w:t>
      </w:r>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p>
    <w:p w14:paraId="75301AF4">
      <w:pPr>
        <w:pStyle w:val="11"/>
        <w:keepNext w:val="0"/>
        <w:keepLines w:val="0"/>
        <w:pageBreakBefore w:val="0"/>
        <w:widowControl w:val="0"/>
        <w:kinsoku/>
        <w:wordWrap/>
        <w:overflowPunct/>
        <w:topLinePunct w:val="0"/>
        <w:autoSpaceDE/>
        <w:autoSpaceDN/>
        <w:bidi w:val="0"/>
        <w:spacing w:after="0" w:line="360" w:lineRule="auto"/>
        <w:ind w:left="0" w:leftChars="0" w:firstLine="643" w:firstLineChars="200"/>
        <w:textAlignment w:val="auto"/>
        <w:rPr>
          <w:rFonts w:hint="eastAsia" w:ascii="仿宋" w:hAnsi="仿宋" w:eastAsia="仿宋" w:cs="仿宋"/>
          <w:b/>
          <w:bCs/>
          <w:kern w:val="2"/>
          <w:sz w:val="32"/>
          <w:szCs w:val="32"/>
          <w:lang w:val="en-US" w:eastAsia="zh-CN" w:bidi="ar-SA"/>
        </w:rPr>
      </w:pPr>
      <w:bookmarkStart w:id="132" w:name="_Toc25128"/>
      <w:bookmarkStart w:id="133" w:name="_Toc19042"/>
      <w:bookmarkStart w:id="134" w:name="_Toc16207"/>
      <w:bookmarkStart w:id="135" w:name="_Toc8171_WPSOffice_Level3"/>
      <w:bookmarkStart w:id="136" w:name="_Toc6318"/>
      <w:bookmarkStart w:id="137" w:name="_Toc10347_WPSOffice_Level3"/>
      <w:r>
        <w:rPr>
          <w:rFonts w:hint="eastAsia" w:ascii="仿宋" w:hAnsi="仿宋" w:eastAsia="仿宋" w:cs="仿宋"/>
          <w:b/>
          <w:bCs/>
          <w:kern w:val="2"/>
          <w:sz w:val="32"/>
          <w:szCs w:val="32"/>
          <w:lang w:val="en-US" w:eastAsia="zh-CN" w:bidi="ar-SA"/>
        </w:rPr>
        <w:t>1.项目收入</w:t>
      </w:r>
      <w:bookmarkEnd w:id="132"/>
      <w:bookmarkEnd w:id="133"/>
      <w:bookmarkEnd w:id="134"/>
      <w:bookmarkEnd w:id="135"/>
      <w:bookmarkEnd w:id="136"/>
      <w:bookmarkEnd w:id="137"/>
    </w:p>
    <w:p w14:paraId="784F0BEF">
      <w:pPr>
        <w:keepNext w:val="0"/>
        <w:keepLines w:val="0"/>
        <w:pageBreakBefore w:val="0"/>
        <w:widowControl w:val="0"/>
        <w:kinsoku/>
        <w:wordWrap/>
        <w:overflowPunct/>
        <w:topLinePunct w:val="0"/>
        <w:autoSpaceDE/>
        <w:autoSpaceDN/>
        <w:bidi w:val="0"/>
        <w:adjustRightInd/>
        <w:snapToGrid/>
        <w:spacing w:before="0" w:beforeLines="0" w:after="0" w:afterLines="0" w:line="360" w:lineRule="auto"/>
        <w:ind w:left="0" w:leftChars="0" w:firstLine="640" w:firstLineChars="200"/>
        <w:jc w:val="both"/>
        <w:textAlignment w:val="auto"/>
        <w:rPr>
          <w:rFonts w:hint="default" w:ascii="仿宋" w:hAnsi="仿宋" w:eastAsia="仿宋" w:cs="仿宋"/>
          <w:kern w:val="2"/>
          <w:sz w:val="32"/>
          <w:szCs w:val="32"/>
          <w:highlight w:val="none"/>
          <w:lang w:val="en-US" w:eastAsia="zh-CN" w:bidi="ar-SA"/>
        </w:rPr>
      </w:pPr>
      <w:r>
        <w:rPr>
          <w:rFonts w:hint="default" w:ascii="仿宋" w:hAnsi="仿宋" w:eastAsia="仿宋" w:cs="仿宋"/>
          <w:kern w:val="2"/>
          <w:sz w:val="32"/>
          <w:szCs w:val="32"/>
          <w:highlight w:val="none"/>
          <w:lang w:val="en-US" w:eastAsia="zh-CN" w:bidi="ar-SA"/>
        </w:rPr>
        <w:t>本项目预计于202</w:t>
      </w:r>
      <w:r>
        <w:rPr>
          <w:rFonts w:hint="eastAsia" w:ascii="仿宋" w:hAnsi="仿宋" w:eastAsia="仿宋" w:cs="仿宋"/>
          <w:kern w:val="2"/>
          <w:sz w:val="32"/>
          <w:szCs w:val="32"/>
          <w:highlight w:val="none"/>
          <w:lang w:val="en-US" w:eastAsia="zh-CN" w:bidi="ar-SA"/>
        </w:rPr>
        <w:t>8</w:t>
      </w:r>
      <w:r>
        <w:rPr>
          <w:rFonts w:hint="default" w:ascii="仿宋" w:hAnsi="仿宋" w:eastAsia="仿宋" w:cs="仿宋"/>
          <w:kern w:val="2"/>
          <w:sz w:val="32"/>
          <w:szCs w:val="32"/>
          <w:highlight w:val="none"/>
          <w:lang w:val="en-US" w:eastAsia="zh-CN" w:bidi="ar-SA"/>
        </w:rPr>
        <w:t>年</w:t>
      </w:r>
      <w:r>
        <w:rPr>
          <w:rFonts w:hint="eastAsia" w:ascii="仿宋" w:hAnsi="仿宋" w:eastAsia="仿宋" w:cs="仿宋"/>
          <w:kern w:val="2"/>
          <w:sz w:val="32"/>
          <w:szCs w:val="32"/>
          <w:highlight w:val="none"/>
          <w:lang w:val="en-US" w:eastAsia="zh-CN" w:bidi="ar-SA"/>
        </w:rPr>
        <w:t>4</w:t>
      </w:r>
      <w:r>
        <w:rPr>
          <w:rFonts w:hint="default" w:ascii="仿宋" w:hAnsi="仿宋" w:eastAsia="仿宋" w:cs="仿宋"/>
          <w:kern w:val="2"/>
          <w:sz w:val="32"/>
          <w:szCs w:val="32"/>
          <w:highlight w:val="none"/>
          <w:lang w:val="en-US" w:eastAsia="zh-CN" w:bidi="ar-SA"/>
        </w:rPr>
        <w:t>月初开始运营，全部债券于204</w:t>
      </w:r>
      <w:r>
        <w:rPr>
          <w:rFonts w:hint="eastAsia" w:ascii="仿宋" w:hAnsi="仿宋" w:eastAsia="仿宋" w:cs="仿宋"/>
          <w:kern w:val="2"/>
          <w:sz w:val="32"/>
          <w:szCs w:val="32"/>
          <w:highlight w:val="none"/>
          <w:lang w:val="en-US" w:eastAsia="zh-CN" w:bidi="ar-SA"/>
        </w:rPr>
        <w:t>7</w:t>
      </w:r>
      <w:r>
        <w:rPr>
          <w:rFonts w:hint="default" w:ascii="仿宋" w:hAnsi="仿宋" w:eastAsia="仿宋" w:cs="仿宋"/>
          <w:kern w:val="2"/>
          <w:sz w:val="32"/>
          <w:szCs w:val="32"/>
          <w:highlight w:val="none"/>
          <w:lang w:val="en-US" w:eastAsia="zh-CN" w:bidi="ar-SA"/>
        </w:rPr>
        <w:t>年</w:t>
      </w:r>
      <w:r>
        <w:rPr>
          <w:rFonts w:hint="eastAsia" w:ascii="仿宋" w:hAnsi="仿宋" w:eastAsia="仿宋" w:cs="仿宋"/>
          <w:kern w:val="2"/>
          <w:sz w:val="32"/>
          <w:szCs w:val="32"/>
          <w:highlight w:val="none"/>
          <w:lang w:val="en-US" w:eastAsia="zh-CN" w:bidi="ar-SA"/>
        </w:rPr>
        <w:t>3</w:t>
      </w:r>
      <w:r>
        <w:rPr>
          <w:rFonts w:hint="default" w:ascii="仿宋" w:hAnsi="仿宋" w:eastAsia="仿宋" w:cs="仿宋"/>
          <w:kern w:val="2"/>
          <w:sz w:val="32"/>
          <w:szCs w:val="32"/>
          <w:highlight w:val="none"/>
          <w:lang w:val="en-US" w:eastAsia="zh-CN" w:bidi="ar-SA"/>
        </w:rPr>
        <w:t>月底前到期还本。</w:t>
      </w:r>
    </w:p>
    <w:p w14:paraId="4CC533BA">
      <w:pPr>
        <w:pageBreakBefore w:val="0"/>
        <w:widowControl w:val="0"/>
        <w:kinsoku/>
        <w:wordWrap/>
        <w:overflowPunct/>
        <w:topLinePunct w:val="0"/>
        <w:autoSpaceDE/>
        <w:autoSpaceDN/>
        <w:bidi w:val="0"/>
        <w:adjustRightInd/>
        <w:snapToGrid/>
        <w:spacing w:before="0" w:beforeLines="0" w:after="0" w:afterLines="0" w:line="360" w:lineRule="auto"/>
        <w:ind w:left="0" w:leftChars="0" w:firstLine="640" w:firstLineChars="200"/>
        <w:jc w:val="both"/>
        <w:textAlignment w:val="auto"/>
        <w:rPr>
          <w:rFonts w:hint="default" w:ascii="仿宋" w:hAnsi="仿宋" w:eastAsia="仿宋" w:cs="仿宋"/>
          <w:kern w:val="2"/>
          <w:sz w:val="32"/>
          <w:szCs w:val="32"/>
          <w:highlight w:val="none"/>
          <w:lang w:val="en-US" w:eastAsia="zh-CN" w:bidi="ar-SA"/>
        </w:rPr>
      </w:pPr>
      <w:r>
        <w:rPr>
          <w:rFonts w:hint="default" w:ascii="仿宋" w:hAnsi="仿宋" w:eastAsia="仿宋" w:cs="仿宋"/>
          <w:kern w:val="2"/>
          <w:sz w:val="32"/>
          <w:szCs w:val="32"/>
          <w:highlight w:val="none"/>
          <w:lang w:val="en-US" w:eastAsia="zh-CN" w:bidi="ar-SA"/>
        </w:rPr>
        <w:t>故本项目收入测算期间为202</w:t>
      </w:r>
      <w:r>
        <w:rPr>
          <w:rFonts w:hint="eastAsia" w:ascii="仿宋" w:hAnsi="仿宋" w:eastAsia="仿宋" w:cs="仿宋"/>
          <w:kern w:val="2"/>
          <w:sz w:val="32"/>
          <w:szCs w:val="32"/>
          <w:highlight w:val="none"/>
          <w:lang w:val="en-US" w:eastAsia="zh-CN" w:bidi="ar-SA"/>
        </w:rPr>
        <w:t>8</w:t>
      </w:r>
      <w:r>
        <w:rPr>
          <w:rFonts w:hint="default" w:ascii="仿宋" w:hAnsi="仿宋" w:eastAsia="仿宋" w:cs="仿宋"/>
          <w:kern w:val="2"/>
          <w:sz w:val="32"/>
          <w:szCs w:val="32"/>
          <w:highlight w:val="none"/>
          <w:lang w:val="en-US" w:eastAsia="zh-CN" w:bidi="ar-SA"/>
        </w:rPr>
        <w:t>年</w:t>
      </w:r>
      <w:r>
        <w:rPr>
          <w:rFonts w:hint="eastAsia" w:ascii="仿宋" w:hAnsi="仿宋" w:eastAsia="仿宋" w:cs="仿宋"/>
          <w:kern w:val="2"/>
          <w:sz w:val="32"/>
          <w:szCs w:val="32"/>
          <w:highlight w:val="none"/>
          <w:lang w:val="en-US" w:eastAsia="zh-CN" w:bidi="ar-SA"/>
        </w:rPr>
        <w:t>4</w:t>
      </w:r>
      <w:r>
        <w:rPr>
          <w:rFonts w:hint="default" w:ascii="仿宋" w:hAnsi="仿宋" w:eastAsia="仿宋" w:cs="仿宋"/>
          <w:kern w:val="2"/>
          <w:sz w:val="32"/>
          <w:szCs w:val="32"/>
          <w:highlight w:val="none"/>
          <w:lang w:val="en-US" w:eastAsia="zh-CN" w:bidi="ar-SA"/>
        </w:rPr>
        <w:t>月~204</w:t>
      </w:r>
      <w:r>
        <w:rPr>
          <w:rFonts w:hint="eastAsia" w:ascii="仿宋" w:hAnsi="仿宋" w:eastAsia="仿宋" w:cs="仿宋"/>
          <w:kern w:val="2"/>
          <w:sz w:val="32"/>
          <w:szCs w:val="32"/>
          <w:highlight w:val="none"/>
          <w:lang w:val="en-US" w:eastAsia="zh-CN" w:bidi="ar-SA"/>
        </w:rPr>
        <w:t>7</w:t>
      </w:r>
      <w:r>
        <w:rPr>
          <w:rFonts w:hint="default" w:ascii="仿宋" w:hAnsi="仿宋" w:eastAsia="仿宋" w:cs="仿宋"/>
          <w:kern w:val="2"/>
          <w:sz w:val="32"/>
          <w:szCs w:val="32"/>
          <w:highlight w:val="none"/>
          <w:lang w:val="en-US" w:eastAsia="zh-CN" w:bidi="ar-SA"/>
        </w:rPr>
        <w:t>年</w:t>
      </w:r>
      <w:r>
        <w:rPr>
          <w:rFonts w:hint="eastAsia" w:ascii="仿宋" w:hAnsi="仿宋" w:eastAsia="仿宋" w:cs="仿宋"/>
          <w:kern w:val="2"/>
          <w:sz w:val="32"/>
          <w:szCs w:val="32"/>
          <w:highlight w:val="none"/>
          <w:lang w:val="en-US" w:eastAsia="zh-CN" w:bidi="ar-SA"/>
        </w:rPr>
        <w:t>3</w:t>
      </w:r>
      <w:r>
        <w:rPr>
          <w:rFonts w:hint="default" w:ascii="仿宋" w:hAnsi="仿宋" w:eastAsia="仿宋" w:cs="仿宋"/>
          <w:kern w:val="2"/>
          <w:sz w:val="32"/>
          <w:szCs w:val="32"/>
          <w:highlight w:val="none"/>
          <w:lang w:val="en-US" w:eastAsia="zh-CN" w:bidi="ar-SA"/>
        </w:rPr>
        <w:t>月，主要为新建特色街区、便民交易点摊位</w:t>
      </w:r>
      <w:r>
        <w:rPr>
          <w:rFonts w:hint="eastAsia" w:ascii="仿宋" w:hAnsi="仿宋" w:eastAsia="仿宋" w:cs="仿宋"/>
          <w:kern w:val="2"/>
          <w:sz w:val="32"/>
          <w:szCs w:val="32"/>
          <w:highlight w:val="none"/>
          <w:lang w:val="en-US" w:eastAsia="zh-CN" w:bidi="ar-SA"/>
        </w:rPr>
        <w:t>出租</w:t>
      </w:r>
      <w:r>
        <w:rPr>
          <w:rFonts w:hint="default" w:ascii="仿宋" w:hAnsi="仿宋" w:eastAsia="仿宋" w:cs="仿宋"/>
          <w:kern w:val="2"/>
          <w:sz w:val="32"/>
          <w:szCs w:val="32"/>
          <w:highlight w:val="none"/>
          <w:lang w:val="en-US" w:eastAsia="zh-CN" w:bidi="ar-SA"/>
        </w:rPr>
        <w:t>收入、养老、托育用房出租收入、物业管理收入、停车位出租收入、充电桩服务费收入。</w:t>
      </w:r>
    </w:p>
    <w:p w14:paraId="5DAFADA6">
      <w:pPr>
        <w:pageBreakBefore w:val="0"/>
        <w:widowControl w:val="0"/>
        <w:kinsoku/>
        <w:wordWrap/>
        <w:overflowPunct/>
        <w:topLinePunct w:val="0"/>
        <w:autoSpaceDE/>
        <w:autoSpaceDN/>
        <w:bidi w:val="0"/>
        <w:adjustRightInd/>
        <w:snapToGrid/>
        <w:spacing w:before="0" w:beforeLines="0" w:after="0" w:afterLines="0" w:line="360" w:lineRule="auto"/>
        <w:ind w:left="0" w:leftChars="0" w:firstLine="640" w:firstLineChars="200"/>
        <w:jc w:val="both"/>
        <w:textAlignment w:val="auto"/>
        <w:rPr>
          <w:rFonts w:hint="eastAsia" w:ascii="仿宋" w:hAnsi="仿宋" w:eastAsia="仿宋" w:cs="仿宋"/>
          <w:sz w:val="32"/>
          <w:szCs w:val="32"/>
          <w:highlight w:val="none"/>
          <w:lang w:val="en-US" w:eastAsia="zh-CN"/>
        </w:rPr>
      </w:pPr>
      <w:r>
        <w:rPr>
          <w:rFonts w:hint="eastAsia" w:ascii="仿宋" w:hAnsi="仿宋" w:eastAsia="仿宋" w:cs="仿宋"/>
          <w:sz w:val="32"/>
          <w:szCs w:val="32"/>
          <w:highlight w:val="none"/>
          <w:lang w:val="en-US" w:eastAsia="zh-CN"/>
        </w:rPr>
        <w:t>经测算，本项目总收入为94,912.60万元，不含增值税收入为90,604.27万元。</w:t>
      </w:r>
    </w:p>
    <w:p w14:paraId="35DB79C3">
      <w:pPr>
        <w:pStyle w:val="4"/>
        <w:keepNext/>
        <w:keepLines/>
        <w:pageBreakBefore w:val="0"/>
        <w:widowControl w:val="0"/>
        <w:numPr>
          <w:ilvl w:val="2"/>
          <w:numId w:val="0"/>
        </w:numPr>
        <w:tabs>
          <w:tab w:val="left" w:pos="0"/>
        </w:tabs>
        <w:kinsoku/>
        <w:wordWrap/>
        <w:overflowPunct/>
        <w:topLinePunct w:val="0"/>
        <w:autoSpaceDE/>
        <w:autoSpaceDN/>
        <w:bidi w:val="0"/>
        <w:adjustRightInd/>
        <w:snapToGrid/>
        <w:spacing w:before="0" w:beforeLines="0" w:after="0" w:afterLines="0" w:line="360" w:lineRule="auto"/>
        <w:ind w:firstLine="643" w:firstLineChars="200"/>
        <w:textAlignment w:val="auto"/>
        <w:rPr>
          <w:rFonts w:hint="default" w:ascii="仿宋" w:hAnsi="仿宋" w:eastAsia="仿宋" w:cs="仿宋"/>
          <w:sz w:val="32"/>
          <w:szCs w:val="32"/>
          <w:highlight w:val="none"/>
          <w:lang w:val="en-US" w:eastAsia="zh-CN"/>
        </w:rPr>
      </w:pPr>
      <w:bookmarkStart w:id="138" w:name="_Toc22846"/>
      <w:bookmarkStart w:id="139" w:name="_Toc19056"/>
      <w:bookmarkStart w:id="140" w:name="_Toc10790"/>
      <w:bookmarkStart w:id="141" w:name="_Toc32157"/>
      <w:bookmarkStart w:id="142" w:name="_Toc32221_WPSOffice_Level3"/>
      <w:bookmarkStart w:id="143" w:name="_Toc13328"/>
      <w:bookmarkStart w:id="144" w:name="_Toc30944_WPSOffice_Level3"/>
      <w:r>
        <w:rPr>
          <w:rFonts w:hint="eastAsia" w:ascii="仿宋" w:hAnsi="仿宋" w:eastAsia="仿宋" w:cs="仿宋"/>
          <w:sz w:val="32"/>
          <w:szCs w:val="28"/>
          <w:lang w:val="en-US" w:eastAsia="zh-CN"/>
        </w:rPr>
        <w:t>2.</w:t>
      </w:r>
      <w:r>
        <w:rPr>
          <w:rFonts w:hint="eastAsia" w:ascii="仿宋" w:hAnsi="仿宋" w:eastAsia="仿宋" w:cs="仿宋"/>
          <w:sz w:val="32"/>
          <w:szCs w:val="28"/>
          <w:lang w:val="en-US"/>
        </w:rPr>
        <w:t>项目成本</w:t>
      </w:r>
      <w:bookmarkEnd w:id="138"/>
      <w:bookmarkEnd w:id="139"/>
      <w:bookmarkEnd w:id="140"/>
      <w:bookmarkEnd w:id="141"/>
      <w:bookmarkEnd w:id="142"/>
      <w:bookmarkEnd w:id="143"/>
      <w:bookmarkEnd w:id="144"/>
    </w:p>
    <w:p w14:paraId="29F8B1D6">
      <w:pPr>
        <w:pStyle w:val="7"/>
        <w:pageBreakBefore w:val="0"/>
        <w:widowControl w:val="0"/>
        <w:kinsoku/>
        <w:wordWrap/>
        <w:overflowPunct/>
        <w:topLinePunct w:val="0"/>
        <w:autoSpaceDE/>
        <w:autoSpaceDN/>
        <w:bidi w:val="0"/>
        <w:adjustRightInd/>
        <w:snapToGrid/>
        <w:spacing w:line="360" w:lineRule="auto"/>
        <w:ind w:left="0" w:leftChars="0" w:firstLine="640" w:firstLineChars="200"/>
        <w:textAlignment w:val="auto"/>
        <w:rPr>
          <w:rFonts w:hint="default" w:ascii="仿宋" w:hAnsi="仿宋" w:eastAsia="仿宋" w:cs="仿宋"/>
          <w:sz w:val="32"/>
          <w:szCs w:val="32"/>
          <w:highlight w:val="none"/>
          <w:lang w:val="en-US" w:eastAsia="zh-CN"/>
        </w:rPr>
      </w:pPr>
      <w:r>
        <w:rPr>
          <w:rFonts w:hint="default" w:ascii="仿宋" w:hAnsi="仿宋" w:eastAsia="仿宋" w:cs="仿宋"/>
          <w:sz w:val="32"/>
          <w:szCs w:val="32"/>
          <w:highlight w:val="none"/>
          <w:lang w:val="en-US" w:eastAsia="zh-CN"/>
        </w:rPr>
        <w:t>本项目预计于202</w:t>
      </w:r>
      <w:r>
        <w:rPr>
          <w:rFonts w:hint="eastAsia" w:ascii="仿宋" w:hAnsi="仿宋" w:eastAsia="仿宋" w:cs="仿宋"/>
          <w:sz w:val="32"/>
          <w:szCs w:val="32"/>
          <w:highlight w:val="none"/>
          <w:lang w:val="en-US" w:eastAsia="zh-CN"/>
        </w:rPr>
        <w:t>8</w:t>
      </w:r>
      <w:r>
        <w:rPr>
          <w:rFonts w:hint="default" w:ascii="仿宋" w:hAnsi="仿宋" w:eastAsia="仿宋" w:cs="仿宋"/>
          <w:sz w:val="32"/>
          <w:szCs w:val="32"/>
          <w:highlight w:val="none"/>
          <w:lang w:val="en-US" w:eastAsia="zh-CN"/>
        </w:rPr>
        <w:t>年</w:t>
      </w:r>
      <w:r>
        <w:rPr>
          <w:rFonts w:hint="eastAsia" w:ascii="仿宋" w:hAnsi="仿宋" w:eastAsia="仿宋" w:cs="仿宋"/>
          <w:sz w:val="32"/>
          <w:szCs w:val="32"/>
          <w:highlight w:val="none"/>
          <w:lang w:val="en-US" w:eastAsia="zh-CN"/>
        </w:rPr>
        <w:t>4</w:t>
      </w:r>
      <w:r>
        <w:rPr>
          <w:rFonts w:hint="default" w:ascii="仿宋" w:hAnsi="仿宋" w:eastAsia="仿宋" w:cs="仿宋"/>
          <w:sz w:val="32"/>
          <w:szCs w:val="32"/>
          <w:highlight w:val="none"/>
          <w:lang w:val="en-US" w:eastAsia="zh-CN"/>
        </w:rPr>
        <w:t>月初开始运营，债券于204</w:t>
      </w:r>
      <w:r>
        <w:rPr>
          <w:rFonts w:hint="eastAsia" w:ascii="仿宋" w:hAnsi="仿宋" w:eastAsia="仿宋" w:cs="仿宋"/>
          <w:sz w:val="32"/>
          <w:szCs w:val="32"/>
          <w:highlight w:val="none"/>
          <w:lang w:val="en-US" w:eastAsia="zh-CN"/>
        </w:rPr>
        <w:t>7</w:t>
      </w:r>
      <w:r>
        <w:rPr>
          <w:rFonts w:hint="default" w:ascii="仿宋" w:hAnsi="仿宋" w:eastAsia="仿宋" w:cs="仿宋"/>
          <w:sz w:val="32"/>
          <w:szCs w:val="32"/>
          <w:highlight w:val="none"/>
          <w:lang w:val="en-US" w:eastAsia="zh-CN"/>
        </w:rPr>
        <w:t>年</w:t>
      </w:r>
      <w:r>
        <w:rPr>
          <w:rFonts w:hint="eastAsia" w:ascii="仿宋" w:hAnsi="仿宋" w:eastAsia="仿宋" w:cs="仿宋"/>
          <w:sz w:val="32"/>
          <w:szCs w:val="32"/>
          <w:highlight w:val="none"/>
          <w:lang w:val="en-US" w:eastAsia="zh-CN"/>
        </w:rPr>
        <w:t>3</w:t>
      </w:r>
      <w:r>
        <w:rPr>
          <w:rFonts w:hint="default" w:ascii="仿宋" w:hAnsi="仿宋" w:eastAsia="仿宋" w:cs="仿宋"/>
          <w:sz w:val="32"/>
          <w:szCs w:val="32"/>
          <w:highlight w:val="none"/>
          <w:lang w:val="en-US" w:eastAsia="zh-CN"/>
        </w:rPr>
        <w:t>月底到期还本。故本项目成本测算期间为202</w:t>
      </w:r>
      <w:r>
        <w:rPr>
          <w:rFonts w:hint="eastAsia" w:ascii="仿宋" w:hAnsi="仿宋" w:eastAsia="仿宋" w:cs="仿宋"/>
          <w:sz w:val="32"/>
          <w:szCs w:val="32"/>
          <w:highlight w:val="none"/>
          <w:lang w:val="en-US" w:eastAsia="zh-CN"/>
        </w:rPr>
        <w:t>8</w:t>
      </w:r>
      <w:r>
        <w:rPr>
          <w:rFonts w:hint="default" w:ascii="仿宋" w:hAnsi="仿宋" w:eastAsia="仿宋" w:cs="仿宋"/>
          <w:sz w:val="32"/>
          <w:szCs w:val="32"/>
          <w:highlight w:val="none"/>
          <w:lang w:val="en-US" w:eastAsia="zh-CN"/>
        </w:rPr>
        <w:t>年</w:t>
      </w:r>
      <w:r>
        <w:rPr>
          <w:rFonts w:hint="eastAsia" w:ascii="仿宋" w:hAnsi="仿宋" w:eastAsia="仿宋" w:cs="仿宋"/>
          <w:sz w:val="32"/>
          <w:szCs w:val="32"/>
          <w:highlight w:val="none"/>
          <w:lang w:val="en-US" w:eastAsia="zh-CN"/>
        </w:rPr>
        <w:t>4</w:t>
      </w:r>
      <w:r>
        <w:rPr>
          <w:rFonts w:hint="default" w:ascii="仿宋" w:hAnsi="仿宋" w:eastAsia="仿宋" w:cs="仿宋"/>
          <w:sz w:val="32"/>
          <w:szCs w:val="32"/>
          <w:highlight w:val="none"/>
          <w:lang w:val="en-US" w:eastAsia="zh-CN"/>
        </w:rPr>
        <w:t>月~204</w:t>
      </w:r>
      <w:r>
        <w:rPr>
          <w:rFonts w:hint="eastAsia" w:ascii="仿宋" w:hAnsi="仿宋" w:eastAsia="仿宋" w:cs="仿宋"/>
          <w:sz w:val="32"/>
          <w:szCs w:val="32"/>
          <w:highlight w:val="none"/>
          <w:lang w:val="en-US" w:eastAsia="zh-CN"/>
        </w:rPr>
        <w:t>7</w:t>
      </w:r>
      <w:r>
        <w:rPr>
          <w:rFonts w:hint="default" w:ascii="仿宋" w:hAnsi="仿宋" w:eastAsia="仿宋" w:cs="仿宋"/>
          <w:sz w:val="32"/>
          <w:szCs w:val="32"/>
          <w:highlight w:val="none"/>
          <w:lang w:val="en-US" w:eastAsia="zh-CN"/>
        </w:rPr>
        <w:t>年</w:t>
      </w:r>
      <w:r>
        <w:rPr>
          <w:rFonts w:hint="eastAsia" w:ascii="仿宋" w:hAnsi="仿宋" w:eastAsia="仿宋" w:cs="仿宋"/>
          <w:sz w:val="32"/>
          <w:szCs w:val="32"/>
          <w:highlight w:val="none"/>
          <w:lang w:val="en-US" w:eastAsia="zh-CN"/>
        </w:rPr>
        <w:t>3</w:t>
      </w:r>
      <w:r>
        <w:rPr>
          <w:rFonts w:hint="default" w:ascii="仿宋" w:hAnsi="仿宋" w:eastAsia="仿宋" w:cs="仿宋"/>
          <w:sz w:val="32"/>
          <w:szCs w:val="32"/>
          <w:highlight w:val="none"/>
          <w:lang w:val="en-US" w:eastAsia="zh-CN"/>
        </w:rPr>
        <w:t>月，项目成本主要包括经营成本、折旧费、财务费用、相关税费。</w:t>
      </w:r>
    </w:p>
    <w:p w14:paraId="0558EDEC">
      <w:pPr>
        <w:pageBreakBefore w:val="0"/>
        <w:widowControl w:val="0"/>
        <w:kinsoku/>
        <w:wordWrap/>
        <w:overflowPunct/>
        <w:topLinePunct w:val="0"/>
        <w:autoSpaceDE/>
        <w:autoSpaceDN/>
        <w:bidi w:val="0"/>
        <w:adjustRightInd/>
        <w:snapToGrid/>
        <w:spacing w:before="0" w:beforeLines="0" w:after="0" w:afterLines="0" w:line="360" w:lineRule="auto"/>
        <w:ind w:left="0" w:leftChars="0" w:firstLine="640" w:firstLineChars="200"/>
        <w:jc w:val="both"/>
        <w:textAlignment w:val="auto"/>
        <w:rPr>
          <w:rFonts w:hint="eastAsia" w:ascii="仿宋" w:hAnsi="仿宋" w:eastAsia="仿宋" w:cs="仿宋"/>
          <w:sz w:val="32"/>
          <w:szCs w:val="32"/>
          <w:highlight w:val="none"/>
          <w:lang w:val="en-US" w:eastAsia="zh-CN"/>
        </w:rPr>
      </w:pPr>
      <w:r>
        <w:rPr>
          <w:rFonts w:hint="eastAsia" w:ascii="仿宋" w:hAnsi="仿宋" w:eastAsia="仿宋" w:cs="仿宋"/>
          <w:sz w:val="32"/>
          <w:szCs w:val="32"/>
          <w:highlight w:val="none"/>
          <w:lang w:val="en-US" w:eastAsia="zh-CN"/>
        </w:rPr>
        <w:t>经测算，</w:t>
      </w:r>
      <w:r>
        <w:rPr>
          <w:rFonts w:hint="default" w:ascii="仿宋" w:hAnsi="仿宋" w:eastAsia="仿宋" w:cs="仿宋"/>
          <w:sz w:val="32"/>
          <w:szCs w:val="32"/>
          <w:highlight w:val="none"/>
          <w:lang w:val="en-US" w:eastAsia="zh-CN"/>
        </w:rPr>
        <w:t>本项目运营期预计总成本为</w:t>
      </w:r>
      <w:r>
        <w:rPr>
          <w:rFonts w:hint="eastAsia" w:ascii="仿宋" w:hAnsi="仿宋" w:eastAsia="仿宋" w:cs="仿宋"/>
          <w:sz w:val="32"/>
          <w:szCs w:val="32"/>
          <w:highlight w:val="none"/>
          <w:lang w:val="en-US" w:eastAsia="zh-CN"/>
        </w:rPr>
        <w:t>79,274.35</w:t>
      </w:r>
      <w:r>
        <w:rPr>
          <w:rFonts w:hint="default" w:ascii="仿宋" w:hAnsi="仿宋" w:eastAsia="仿宋" w:cs="仿宋"/>
          <w:sz w:val="32"/>
          <w:szCs w:val="32"/>
          <w:highlight w:val="none"/>
          <w:lang w:val="en-US" w:eastAsia="zh-CN"/>
        </w:rPr>
        <w:t xml:space="preserve">万元，不含折旧利息的总成本 </w:t>
      </w:r>
      <w:r>
        <w:rPr>
          <w:rFonts w:hint="eastAsia" w:ascii="仿宋" w:hAnsi="仿宋" w:eastAsia="仿宋" w:cs="仿宋"/>
          <w:sz w:val="32"/>
          <w:szCs w:val="32"/>
          <w:highlight w:val="none"/>
          <w:lang w:val="en-US" w:eastAsia="zh-CN"/>
        </w:rPr>
        <w:t>9,728.03</w:t>
      </w:r>
      <w:r>
        <w:rPr>
          <w:rFonts w:hint="default" w:ascii="仿宋" w:hAnsi="仿宋" w:eastAsia="仿宋" w:cs="仿宋"/>
          <w:sz w:val="32"/>
          <w:szCs w:val="32"/>
          <w:highlight w:val="none"/>
          <w:lang w:val="en-US" w:eastAsia="zh-CN"/>
        </w:rPr>
        <w:t>万元</w:t>
      </w:r>
      <w:r>
        <w:rPr>
          <w:rFonts w:hint="eastAsia" w:ascii="仿宋" w:hAnsi="仿宋" w:eastAsia="仿宋" w:cs="仿宋"/>
          <w:sz w:val="32"/>
          <w:szCs w:val="32"/>
          <w:highlight w:val="none"/>
          <w:lang w:val="en-US" w:eastAsia="zh-CN"/>
        </w:rPr>
        <w:t>。</w:t>
      </w:r>
    </w:p>
    <w:p w14:paraId="3679B6D9">
      <w:pPr>
        <w:pageBreakBefore w:val="0"/>
        <w:widowControl w:val="0"/>
        <w:kinsoku/>
        <w:wordWrap/>
        <w:overflowPunct/>
        <w:topLinePunct w:val="0"/>
        <w:autoSpaceDE/>
        <w:autoSpaceDN/>
        <w:bidi w:val="0"/>
        <w:adjustRightInd/>
        <w:snapToGrid/>
        <w:spacing w:before="0" w:beforeLines="0" w:after="0" w:afterLines="0" w:line="360" w:lineRule="auto"/>
        <w:jc w:val="both"/>
        <w:textAlignment w:val="auto"/>
        <w:rPr>
          <w:rFonts w:hint="eastAsia" w:ascii="仿宋" w:hAnsi="仿宋" w:eastAsia="仿宋" w:cs="仿宋"/>
          <w:sz w:val="32"/>
          <w:szCs w:val="32"/>
          <w:highlight w:val="none"/>
          <w:lang w:val="en-US" w:eastAsia="zh-CN"/>
        </w:rPr>
      </w:pPr>
    </w:p>
    <w:p w14:paraId="25B38452">
      <w:pPr>
        <w:widowControl w:val="0"/>
        <w:bidi w:val="0"/>
        <w:adjustRightInd w:val="0"/>
        <w:snapToGrid w:val="0"/>
        <w:spacing w:before="50" w:beforeLines="50" w:after="50" w:afterLines="50" w:line="360" w:lineRule="auto"/>
        <w:ind w:firstLine="643" w:firstLineChars="200"/>
        <w:jc w:val="both"/>
        <w:outlineLvl w:val="2"/>
        <w:rPr>
          <w:rFonts w:hint="eastAsia" w:ascii="Times New Roman" w:hAnsi="Times New Roman" w:eastAsia="楷体" w:cs="Times New Roman"/>
          <w:b/>
          <w:bCs/>
          <w:kern w:val="2"/>
          <w:sz w:val="32"/>
          <w:szCs w:val="32"/>
          <w:lang w:val="en-US" w:eastAsia="zh-CN" w:bidi="ar-SA"/>
        </w:rPr>
      </w:pPr>
      <w:r>
        <w:rPr>
          <w:rFonts w:hint="eastAsia" w:ascii="Times New Roman" w:hAnsi="Times New Roman" w:eastAsia="楷体" w:cs="Times New Roman"/>
          <w:b/>
          <w:bCs/>
          <w:kern w:val="2"/>
          <w:sz w:val="32"/>
          <w:szCs w:val="32"/>
          <w:lang w:val="en-US" w:eastAsia="zh-CN" w:bidi="ar-SA"/>
        </w:rPr>
        <w:t>（二）资金测算平衡情况</w:t>
      </w:r>
    </w:p>
    <w:p w14:paraId="6D8406CC">
      <w:pPr>
        <w:keepNext/>
        <w:keepLines/>
        <w:pageBreakBefore w:val="0"/>
        <w:widowControl w:val="0"/>
        <w:numPr>
          <w:ilvl w:val="2"/>
          <w:numId w:val="0"/>
        </w:numPr>
        <w:tabs>
          <w:tab w:val="left" w:pos="0"/>
        </w:tabs>
        <w:kinsoku/>
        <w:wordWrap/>
        <w:overflowPunct/>
        <w:topLinePunct w:val="0"/>
        <w:autoSpaceDE/>
        <w:autoSpaceDN/>
        <w:bidi w:val="0"/>
        <w:adjustRightInd/>
        <w:snapToGrid/>
        <w:spacing w:before="0" w:after="0" w:line="360" w:lineRule="auto"/>
        <w:ind w:firstLine="643" w:firstLineChars="200"/>
        <w:jc w:val="both"/>
        <w:textAlignment w:val="auto"/>
        <w:outlineLvl w:val="2"/>
        <w:rPr>
          <w:rFonts w:hint="eastAsia" w:ascii="仿宋" w:hAnsi="仿宋" w:eastAsia="仿宋" w:cs="仿宋"/>
          <w:b/>
          <w:bCs/>
          <w:kern w:val="2"/>
          <w:sz w:val="32"/>
          <w:szCs w:val="28"/>
          <w:lang w:val="en-US" w:eastAsia="zh-CN" w:bidi="ar-SA"/>
        </w:rPr>
      </w:pPr>
      <w:bookmarkStart w:id="145" w:name="_Toc23742"/>
      <w:bookmarkStart w:id="146" w:name="_Toc10851_WPSOffice_Level3"/>
      <w:bookmarkStart w:id="147" w:name="_Toc6897"/>
      <w:bookmarkStart w:id="148" w:name="_Toc6255"/>
      <w:bookmarkStart w:id="149" w:name="_Toc10945"/>
      <w:bookmarkStart w:id="150" w:name="_Toc21309"/>
      <w:bookmarkStart w:id="151" w:name="_Toc11490"/>
      <w:bookmarkStart w:id="152" w:name="_Toc28170_WPSOffice_Level3"/>
      <w:bookmarkStart w:id="153" w:name="_Toc24636"/>
      <w:bookmarkStart w:id="154" w:name="_Toc9416"/>
      <w:bookmarkStart w:id="155" w:name="_Toc22827"/>
      <w:bookmarkStart w:id="156" w:name="_Toc19253"/>
      <w:bookmarkStart w:id="157" w:name="_Toc20833"/>
      <w:bookmarkStart w:id="158" w:name="_Toc18760766"/>
      <w:bookmarkStart w:id="159" w:name="_Toc26693"/>
      <w:bookmarkStart w:id="160" w:name="_Toc11967"/>
      <w:r>
        <w:rPr>
          <w:rFonts w:hint="eastAsia" w:ascii="仿宋" w:hAnsi="仿宋" w:eastAsia="仿宋" w:cs="仿宋"/>
          <w:b/>
          <w:bCs/>
          <w:kern w:val="2"/>
          <w:sz w:val="32"/>
          <w:szCs w:val="28"/>
          <w:lang w:val="en-US" w:eastAsia="zh-CN" w:bidi="ar-SA"/>
        </w:rPr>
        <w:t>1.项目还本付息计划</w:t>
      </w:r>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p>
    <w:p w14:paraId="367D4747">
      <w:pPr>
        <w:pageBreakBefore w:val="0"/>
        <w:widowControl w:val="0"/>
        <w:kinsoku/>
        <w:wordWrap/>
        <w:overflowPunct/>
        <w:topLinePunct w:val="0"/>
        <w:autoSpaceDE/>
        <w:autoSpaceDN/>
        <w:bidi w:val="0"/>
        <w:adjustRightInd/>
        <w:snapToGrid/>
        <w:spacing w:before="0" w:beforeLines="0" w:after="0" w:afterLines="0" w:line="360" w:lineRule="auto"/>
        <w:ind w:firstLine="640" w:firstLineChars="200"/>
        <w:jc w:val="both"/>
        <w:textAlignment w:val="auto"/>
        <w:rPr>
          <w:rFonts w:hint="eastAsia" w:ascii="仿宋" w:hAnsi="仿宋" w:eastAsia="仿宋" w:cs="仿宋"/>
          <w:kern w:val="2"/>
          <w:sz w:val="32"/>
          <w:szCs w:val="32"/>
          <w:highlight w:val="none"/>
          <w:lang w:val="en-US" w:eastAsia="zh-CN" w:bidi="ar-SA"/>
        </w:rPr>
      </w:pPr>
      <w:r>
        <w:rPr>
          <w:rFonts w:hint="eastAsia" w:ascii="仿宋" w:hAnsi="仿宋" w:eastAsia="仿宋" w:cs="仿宋"/>
          <w:kern w:val="2"/>
          <w:sz w:val="32"/>
          <w:szCs w:val="32"/>
          <w:highlight w:val="none"/>
          <w:lang w:val="en-US" w:eastAsia="zh-CN" w:bidi="ar-SA"/>
        </w:rPr>
        <w:t>根据上述收入及成本预测，编制了债券存续期间本项目资金平衡情况表，本项目运营期累计实现运营现金净流入（折旧还本付息前）88,683.53万元。</w:t>
      </w:r>
    </w:p>
    <w:p w14:paraId="42B5ED07">
      <w:pPr>
        <w:pStyle w:val="7"/>
        <w:pageBreakBefore w:val="0"/>
        <w:widowControl w:val="0"/>
        <w:kinsoku/>
        <w:wordWrap/>
        <w:overflowPunct/>
        <w:topLinePunct w:val="0"/>
        <w:autoSpaceDE/>
        <w:autoSpaceDN/>
        <w:bidi w:val="0"/>
        <w:adjustRightInd/>
        <w:snapToGrid/>
        <w:spacing w:line="360" w:lineRule="auto"/>
        <w:ind w:left="0" w:leftChars="0" w:firstLine="640" w:firstLineChars="200"/>
        <w:textAlignment w:val="auto"/>
        <w:rPr>
          <w:rFonts w:hint="eastAsia" w:ascii="仿宋" w:hAnsi="仿宋" w:eastAsia="仿宋" w:cs="仿宋"/>
          <w:sz w:val="32"/>
          <w:szCs w:val="32"/>
          <w:highlight w:val="none"/>
          <w:lang w:val="en-US" w:eastAsia="zh-CN"/>
        </w:rPr>
      </w:pPr>
      <w:r>
        <w:rPr>
          <w:rFonts w:hint="eastAsia" w:ascii="仿宋" w:hAnsi="仿宋" w:eastAsia="仿宋" w:cs="仿宋"/>
          <w:sz w:val="32"/>
          <w:szCs w:val="32"/>
          <w:highlight w:val="none"/>
          <w:lang w:val="en-US" w:eastAsia="zh-CN"/>
        </w:rPr>
        <w:t>本</w:t>
      </w:r>
      <w:r>
        <w:rPr>
          <w:rFonts w:hint="eastAsia" w:ascii="仿宋" w:hAnsi="仿宋" w:eastAsia="仿宋" w:cs="仿宋"/>
          <w:sz w:val="32"/>
          <w:szCs w:val="32"/>
          <w:highlight w:val="none"/>
          <w:lang w:val="en-US"/>
        </w:rPr>
        <w:t>项目在满足上述资金筹集计划、项目实施计划、资金使用计划及预期收益的假设前提下，政府专项债到期日累计</w:t>
      </w:r>
      <w:r>
        <w:rPr>
          <w:rFonts w:hint="eastAsia" w:ascii="仿宋" w:hAnsi="仿宋" w:eastAsia="仿宋" w:cs="仿宋"/>
          <w:sz w:val="32"/>
          <w:szCs w:val="32"/>
          <w:highlight w:val="none"/>
          <w:lang w:val="en-US" w:eastAsia="zh-CN"/>
        </w:rPr>
        <w:t>实现</w:t>
      </w:r>
      <w:r>
        <w:rPr>
          <w:rFonts w:hint="eastAsia" w:ascii="仿宋" w:hAnsi="仿宋" w:eastAsia="仿宋" w:cs="仿宋"/>
          <w:sz w:val="32"/>
          <w:szCs w:val="32"/>
          <w:highlight w:val="none"/>
          <w:lang w:val="en-US"/>
        </w:rPr>
        <w:t>不含税收入为</w:t>
      </w:r>
      <w:r>
        <w:rPr>
          <w:rFonts w:hint="eastAsia" w:ascii="仿宋" w:hAnsi="仿宋" w:eastAsia="仿宋" w:cs="仿宋"/>
          <w:sz w:val="32"/>
          <w:szCs w:val="32"/>
          <w:highlight w:val="none"/>
          <w:lang w:val="en-US" w:eastAsia="zh-CN"/>
        </w:rPr>
        <w:t>94,912.60</w:t>
      </w:r>
      <w:r>
        <w:rPr>
          <w:rFonts w:hint="eastAsia" w:ascii="仿宋" w:hAnsi="仿宋" w:eastAsia="仿宋" w:cs="仿宋"/>
          <w:sz w:val="32"/>
          <w:szCs w:val="32"/>
          <w:highlight w:val="none"/>
          <w:lang w:val="en-US"/>
        </w:rPr>
        <w:t>万元，扣除项目相关成本费用后项目净收益为</w:t>
      </w:r>
      <w:r>
        <w:rPr>
          <w:rFonts w:hint="eastAsia" w:ascii="仿宋" w:hAnsi="仿宋" w:eastAsia="仿宋" w:cs="仿宋"/>
          <w:sz w:val="32"/>
          <w:szCs w:val="32"/>
          <w:highlight w:val="none"/>
          <w:lang w:val="en-US" w:eastAsia="zh-CN"/>
        </w:rPr>
        <w:t>76,061.92</w:t>
      </w:r>
      <w:r>
        <w:rPr>
          <w:rFonts w:hint="eastAsia" w:ascii="仿宋" w:hAnsi="仿宋" w:eastAsia="仿宋" w:cs="仿宋"/>
          <w:sz w:val="32"/>
          <w:szCs w:val="32"/>
          <w:highlight w:val="none"/>
          <w:lang w:val="en-US"/>
        </w:rPr>
        <w:t>万元，项目融资本息总额为69,</w:t>
      </w:r>
      <w:r>
        <w:rPr>
          <w:rFonts w:hint="eastAsia" w:ascii="仿宋" w:hAnsi="仿宋" w:eastAsia="仿宋" w:cs="仿宋"/>
          <w:sz w:val="32"/>
          <w:szCs w:val="32"/>
          <w:highlight w:val="none"/>
          <w:lang w:val="en-US" w:eastAsia="zh-CN"/>
        </w:rPr>
        <w:t>73</w:t>
      </w:r>
      <w:r>
        <w:rPr>
          <w:rFonts w:hint="eastAsia" w:ascii="仿宋" w:hAnsi="仿宋" w:eastAsia="仿宋" w:cs="仿宋"/>
          <w:sz w:val="32"/>
          <w:szCs w:val="32"/>
          <w:highlight w:val="none"/>
          <w:lang w:val="en-US"/>
        </w:rPr>
        <w:t>0.00万元，项目净收益是融资本息总额的1.</w:t>
      </w:r>
      <w:r>
        <w:rPr>
          <w:rFonts w:hint="eastAsia" w:ascii="仿宋" w:hAnsi="仿宋" w:eastAsia="仿宋" w:cs="仿宋"/>
          <w:sz w:val="32"/>
          <w:szCs w:val="32"/>
          <w:highlight w:val="none"/>
          <w:lang w:val="en-US" w:eastAsia="zh-CN"/>
        </w:rPr>
        <w:t>09</w:t>
      </w:r>
      <w:r>
        <w:rPr>
          <w:rFonts w:hint="eastAsia" w:ascii="仿宋" w:hAnsi="仿宋" w:eastAsia="仿宋" w:cs="仿宋"/>
          <w:sz w:val="32"/>
          <w:szCs w:val="32"/>
          <w:highlight w:val="none"/>
          <w:lang w:val="en-US"/>
        </w:rPr>
        <w:t>倍。期间不存在资金缺口。资金测算平衡情况具体见下表</w:t>
      </w:r>
      <w:r>
        <w:rPr>
          <w:rFonts w:hint="eastAsia" w:ascii="仿宋" w:hAnsi="仿宋" w:cs="仿宋"/>
          <w:sz w:val="32"/>
          <w:szCs w:val="32"/>
          <w:highlight w:val="none"/>
          <w:lang w:val="en-US" w:eastAsia="zh-CN"/>
        </w:rPr>
        <w:t>：</w:t>
      </w:r>
      <w:r>
        <w:rPr>
          <w:rFonts w:hint="eastAsia" w:ascii="仿宋" w:hAnsi="仿宋" w:eastAsia="仿宋" w:cs="仿宋"/>
          <w:sz w:val="32"/>
          <w:szCs w:val="32"/>
          <w:highlight w:val="none"/>
          <w:lang w:val="en-US" w:eastAsia="zh-CN"/>
        </w:rPr>
        <w:t>资金平衡测算表：</w:t>
      </w:r>
    </w:p>
    <w:p w14:paraId="71FE583D">
      <w:pPr>
        <w:pStyle w:val="7"/>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仿宋" w:hAnsi="仿宋" w:eastAsia="仿宋" w:cs="仿宋"/>
          <w:sz w:val="32"/>
          <w:szCs w:val="32"/>
          <w:highlight w:val="none"/>
          <w:lang w:val="en-US" w:eastAsia="zh-CN"/>
        </w:rPr>
      </w:pPr>
    </w:p>
    <w:p w14:paraId="1A2C598A">
      <w:pPr>
        <w:rPr>
          <w:rFonts w:hint="eastAsia" w:ascii="仿宋" w:hAnsi="仿宋" w:eastAsia="仿宋" w:cs="仿宋"/>
          <w:sz w:val="32"/>
          <w:szCs w:val="32"/>
          <w:highlight w:val="none"/>
          <w:lang w:val="en-US" w:eastAsia="zh-CN"/>
        </w:rPr>
      </w:pPr>
      <w:r>
        <w:rPr>
          <w:rFonts w:hint="eastAsia" w:ascii="仿宋" w:hAnsi="仿宋" w:eastAsia="仿宋" w:cs="仿宋"/>
          <w:sz w:val="32"/>
          <w:szCs w:val="32"/>
          <w:highlight w:val="none"/>
          <w:lang w:val="en-US" w:eastAsia="zh-CN"/>
        </w:rPr>
        <w:br w:type="page"/>
      </w:r>
    </w:p>
    <w:p w14:paraId="07E48295">
      <w:pPr>
        <w:pStyle w:val="7"/>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仿宋" w:hAnsi="仿宋" w:eastAsia="仿宋" w:cs="仿宋"/>
          <w:sz w:val="32"/>
          <w:szCs w:val="32"/>
          <w:highlight w:val="none"/>
          <w:lang w:val="en-US" w:eastAsia="zh-CN"/>
        </w:rPr>
        <w:sectPr>
          <w:pgSz w:w="11906" w:h="16838"/>
          <w:pgMar w:top="1440" w:right="1800" w:bottom="1440" w:left="1800" w:header="851" w:footer="992" w:gutter="0"/>
          <w:cols w:space="425" w:num="1"/>
          <w:docGrid w:type="lines" w:linePitch="312" w:charSpace="0"/>
        </w:sectPr>
      </w:pPr>
    </w:p>
    <w:p w14:paraId="2F577303">
      <w:pPr>
        <w:pStyle w:val="7"/>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仿宋" w:hAnsi="仿宋" w:eastAsia="仿宋" w:cs="仿宋"/>
          <w:b/>
          <w:bCs/>
          <w:sz w:val="21"/>
          <w:szCs w:val="21"/>
          <w:highlight w:val="none"/>
          <w:lang w:val="en-US" w:eastAsia="zh-CN"/>
        </w:rPr>
      </w:pPr>
      <w:r>
        <w:rPr>
          <w:rFonts w:hint="eastAsia" w:ascii="仿宋" w:hAnsi="仿宋" w:eastAsia="仿宋" w:cs="仿宋"/>
          <w:b/>
          <w:bCs/>
          <w:sz w:val="21"/>
          <w:szCs w:val="21"/>
          <w:highlight w:val="none"/>
          <w:lang w:val="en-US" w:eastAsia="zh-CN"/>
        </w:rPr>
        <w:t>资金平衡测算表</w:t>
      </w:r>
    </w:p>
    <w:tbl>
      <w:tblPr>
        <w:tblStyle w:val="12"/>
        <w:tblpPr w:leftFromText="180" w:rightFromText="180" w:vertAnchor="text" w:horzAnchor="page" w:tblpX="106" w:tblpY="301"/>
        <w:tblOverlap w:val="never"/>
        <w:tblW w:w="1535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967"/>
        <w:gridCol w:w="916"/>
        <w:gridCol w:w="916"/>
        <w:gridCol w:w="916"/>
        <w:gridCol w:w="916"/>
        <w:gridCol w:w="916"/>
        <w:gridCol w:w="916"/>
        <w:gridCol w:w="916"/>
        <w:gridCol w:w="916"/>
        <w:gridCol w:w="916"/>
        <w:gridCol w:w="916"/>
        <w:gridCol w:w="916"/>
        <w:gridCol w:w="916"/>
        <w:gridCol w:w="916"/>
        <w:gridCol w:w="916"/>
        <w:gridCol w:w="916"/>
        <w:gridCol w:w="916"/>
        <w:gridCol w:w="916"/>
        <w:gridCol w:w="916"/>
        <w:gridCol w:w="916"/>
        <w:gridCol w:w="916"/>
        <w:gridCol w:w="916"/>
        <w:gridCol w:w="916"/>
        <w:gridCol w:w="916"/>
        <w:gridCol w:w="916"/>
      </w:tblGrid>
      <w:tr w14:paraId="09C931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trPr>
        <w:tc>
          <w:tcPr>
            <w:tcW w:w="953" w:type="dxa"/>
            <w:tcBorders>
              <w:top w:val="single" w:color="000000" w:sz="4" w:space="0"/>
              <w:left w:val="single" w:color="000000" w:sz="4" w:space="0"/>
              <w:bottom w:val="single" w:color="000000" w:sz="4" w:space="0"/>
              <w:right w:val="single" w:color="000000" w:sz="4" w:space="0"/>
              <w:tl2br w:val="single" w:color="000000" w:sz="4" w:space="0"/>
            </w:tcBorders>
            <w:shd w:val="clear" w:color="auto" w:fill="FFFFFF"/>
            <w:vAlign w:val="top"/>
          </w:tcPr>
          <w:p w14:paraId="5D79EBEA">
            <w:pPr>
              <w:keepNext w:val="0"/>
              <w:keepLines w:val="0"/>
              <w:widowControl/>
              <w:suppressLineNumbers w:val="0"/>
              <w:jc w:val="left"/>
              <w:textAlignment w:val="top"/>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年度</w:t>
            </w:r>
            <w:r>
              <w:rPr>
                <w:rFonts w:hint="eastAsia" w:ascii="仿宋" w:hAnsi="仿宋" w:eastAsia="仿宋" w:cs="仿宋"/>
                <w:i w:val="0"/>
                <w:iCs w:val="0"/>
                <w:color w:val="000000"/>
                <w:kern w:val="0"/>
                <w:sz w:val="10"/>
                <w:szCs w:val="10"/>
                <w:u w:val="none"/>
                <w:lang w:val="en-US" w:eastAsia="zh-CN" w:bidi="ar"/>
              </w:rPr>
              <w:br w:type="textWrapping"/>
            </w:r>
            <w:r>
              <w:rPr>
                <w:rFonts w:hint="eastAsia" w:ascii="仿宋" w:hAnsi="仿宋" w:eastAsia="仿宋" w:cs="仿宋"/>
                <w:i w:val="0"/>
                <w:iCs w:val="0"/>
                <w:color w:val="000000"/>
                <w:kern w:val="0"/>
                <w:sz w:val="10"/>
                <w:szCs w:val="10"/>
                <w:u w:val="none"/>
                <w:lang w:val="en-US" w:eastAsia="zh-CN" w:bidi="ar"/>
              </w:rPr>
              <w:t>项目</w:t>
            </w:r>
          </w:p>
        </w:tc>
        <w:tc>
          <w:tcPr>
            <w:tcW w:w="604"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676369AA">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第1年</w:t>
            </w:r>
          </w:p>
        </w:tc>
        <w:tc>
          <w:tcPr>
            <w:tcW w:w="604"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565BB80D">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第2年</w:t>
            </w:r>
          </w:p>
        </w:tc>
        <w:tc>
          <w:tcPr>
            <w:tcW w:w="604"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0BE49E9F">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第3年</w:t>
            </w:r>
          </w:p>
        </w:tc>
        <w:tc>
          <w:tcPr>
            <w:tcW w:w="604"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7EA53D4E">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第4年</w:t>
            </w:r>
          </w:p>
        </w:tc>
        <w:tc>
          <w:tcPr>
            <w:tcW w:w="558"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167721C3">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第5年</w:t>
            </w:r>
          </w:p>
        </w:tc>
        <w:tc>
          <w:tcPr>
            <w:tcW w:w="558"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4D238EE7">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第6年</w:t>
            </w:r>
          </w:p>
        </w:tc>
        <w:tc>
          <w:tcPr>
            <w:tcW w:w="558"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4E2E960C">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第7年</w:t>
            </w:r>
          </w:p>
        </w:tc>
        <w:tc>
          <w:tcPr>
            <w:tcW w:w="558"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373A7DE1">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第8年</w:t>
            </w:r>
          </w:p>
        </w:tc>
        <w:tc>
          <w:tcPr>
            <w:tcW w:w="604"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56D6EEE5">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第9年</w:t>
            </w:r>
          </w:p>
        </w:tc>
        <w:tc>
          <w:tcPr>
            <w:tcW w:w="604"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0BD35726">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第10年</w:t>
            </w:r>
          </w:p>
        </w:tc>
        <w:tc>
          <w:tcPr>
            <w:tcW w:w="604"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7060D19B">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第11年</w:t>
            </w:r>
          </w:p>
        </w:tc>
        <w:tc>
          <w:tcPr>
            <w:tcW w:w="604"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7284D1E6">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第12年</w:t>
            </w:r>
          </w:p>
        </w:tc>
        <w:tc>
          <w:tcPr>
            <w:tcW w:w="604"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2E95F7E3">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第13年</w:t>
            </w:r>
          </w:p>
        </w:tc>
        <w:tc>
          <w:tcPr>
            <w:tcW w:w="604"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0409F2AE">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第14年</w:t>
            </w:r>
          </w:p>
        </w:tc>
        <w:tc>
          <w:tcPr>
            <w:tcW w:w="604"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681EDDB6">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第15年</w:t>
            </w:r>
          </w:p>
        </w:tc>
        <w:tc>
          <w:tcPr>
            <w:tcW w:w="604"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76E39855">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第16年</w:t>
            </w:r>
          </w:p>
        </w:tc>
        <w:tc>
          <w:tcPr>
            <w:tcW w:w="604"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1A1E019D">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第17年</w:t>
            </w:r>
          </w:p>
        </w:tc>
        <w:tc>
          <w:tcPr>
            <w:tcW w:w="604"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584B2902">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第18年</w:t>
            </w:r>
          </w:p>
        </w:tc>
        <w:tc>
          <w:tcPr>
            <w:tcW w:w="604"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407EC764">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第19年</w:t>
            </w:r>
          </w:p>
        </w:tc>
        <w:tc>
          <w:tcPr>
            <w:tcW w:w="604"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24F6D658">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第20年</w:t>
            </w:r>
          </w:p>
        </w:tc>
        <w:tc>
          <w:tcPr>
            <w:tcW w:w="649"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790CDBA1">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第21年</w:t>
            </w:r>
          </w:p>
        </w:tc>
        <w:tc>
          <w:tcPr>
            <w:tcW w:w="604"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780AA067">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第22年</w:t>
            </w:r>
          </w:p>
        </w:tc>
        <w:tc>
          <w:tcPr>
            <w:tcW w:w="604" w:type="dxa"/>
            <w:tcBorders>
              <w:top w:val="single" w:color="000000" w:sz="8" w:space="0"/>
              <w:left w:val="single" w:color="000000" w:sz="4" w:space="0"/>
              <w:bottom w:val="single" w:color="000000" w:sz="4" w:space="0"/>
              <w:right w:val="single" w:color="000000" w:sz="4" w:space="0"/>
            </w:tcBorders>
            <w:shd w:val="clear" w:color="auto" w:fill="FFFFFF"/>
            <w:noWrap/>
            <w:vAlign w:val="center"/>
          </w:tcPr>
          <w:p w14:paraId="275767B5">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第23年</w:t>
            </w:r>
          </w:p>
        </w:tc>
        <w:tc>
          <w:tcPr>
            <w:tcW w:w="649" w:type="dxa"/>
            <w:tcBorders>
              <w:top w:val="single" w:color="000000" w:sz="8" w:space="0"/>
              <w:left w:val="single" w:color="000000" w:sz="4" w:space="0"/>
              <w:bottom w:val="single" w:color="000000" w:sz="4" w:space="0"/>
              <w:right w:val="nil"/>
            </w:tcBorders>
            <w:shd w:val="clear" w:color="auto" w:fill="FFFFFF"/>
            <w:noWrap/>
            <w:vAlign w:val="center"/>
          </w:tcPr>
          <w:p w14:paraId="1F115E27">
            <w:pPr>
              <w:keepNext w:val="0"/>
              <w:keepLines w:val="0"/>
              <w:widowControl/>
              <w:suppressLineNumbers w:val="0"/>
              <w:jc w:val="center"/>
              <w:textAlignment w:val="center"/>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合计</w:t>
            </w:r>
          </w:p>
        </w:tc>
      </w:tr>
      <w:tr w14:paraId="32B15F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trPr>
        <w:tc>
          <w:tcPr>
            <w:tcW w:w="953" w:type="dxa"/>
            <w:tcBorders>
              <w:top w:val="single" w:color="000000" w:sz="4" w:space="0"/>
              <w:left w:val="nil"/>
              <w:bottom w:val="single" w:color="000000" w:sz="4" w:space="0"/>
              <w:right w:val="single" w:color="000000" w:sz="4" w:space="0"/>
            </w:tcBorders>
            <w:shd w:val="clear" w:color="auto" w:fill="auto"/>
            <w:noWrap/>
            <w:vAlign w:val="bottom"/>
          </w:tcPr>
          <w:p w14:paraId="02FD8205">
            <w:pPr>
              <w:keepNext w:val="0"/>
              <w:keepLines w:val="0"/>
              <w:widowControl/>
              <w:suppressLineNumbers w:val="0"/>
              <w:jc w:val="lef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1、资金流入</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EC9173">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11,121.88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33C9B8">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13,000.00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0F4E28">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13,000.00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5B6446">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15,920.74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C757C7">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3,025.37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C7093B">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3,456.73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524D8D">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4,082.50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F6E701">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4,308.95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143770">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4,308.95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91D52C">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4,524.40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F36166">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4,524.40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BD1B9D">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4,524.40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4E53B7">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4,750.62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3C2895">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4,750.62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AE418D">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4,750.62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D9F514">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4,988.15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0B9C76">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4,988.15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2B664C">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4,988.15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37C2A6">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5,237.55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5D2E0F">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5,237.55 </w:t>
            </w:r>
          </w:p>
        </w:tc>
        <w:tc>
          <w:tcPr>
            <w:tcW w:w="649"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E44810">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5,237.55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7947D5">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5,499.43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90132C">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5,499.43 </w:t>
            </w:r>
          </w:p>
        </w:tc>
        <w:tc>
          <w:tcPr>
            <w:tcW w:w="649" w:type="dxa"/>
            <w:tcBorders>
              <w:top w:val="single" w:color="000000" w:sz="4" w:space="0"/>
              <w:left w:val="single" w:color="000000" w:sz="4" w:space="0"/>
              <w:bottom w:val="single" w:color="000000" w:sz="4" w:space="0"/>
              <w:right w:val="nil"/>
            </w:tcBorders>
            <w:shd w:val="clear" w:color="auto" w:fill="auto"/>
            <w:noWrap/>
            <w:vAlign w:val="bottom"/>
          </w:tcPr>
          <w:p w14:paraId="4DD56A62">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141,726.15 </w:t>
            </w:r>
          </w:p>
        </w:tc>
      </w:tr>
      <w:tr w14:paraId="11D0CC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953" w:type="dxa"/>
            <w:tcBorders>
              <w:top w:val="single" w:color="000000" w:sz="4" w:space="0"/>
              <w:left w:val="nil"/>
              <w:bottom w:val="single" w:color="000000" w:sz="4" w:space="0"/>
              <w:right w:val="single" w:color="000000" w:sz="4" w:space="0"/>
            </w:tcBorders>
            <w:shd w:val="clear" w:color="auto" w:fill="auto"/>
            <w:noWrap/>
            <w:vAlign w:val="bottom"/>
          </w:tcPr>
          <w:p w14:paraId="6846B1AD">
            <w:pPr>
              <w:keepNext w:val="0"/>
              <w:keepLines w:val="0"/>
              <w:widowControl/>
              <w:suppressLineNumbers w:val="0"/>
              <w:ind w:firstLineChars="100"/>
              <w:jc w:val="lef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1.1、资本金流入</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74A05E">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1,121.88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AF24C4">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3,000.00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FC8859">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3,000.00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F97836">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4,000.00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ACB1B5">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0488AC">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7B454B">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3B11F7">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1C9848">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2DCB67">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F773FF">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159E6F">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0597A1">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6913E005">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7AC926B2">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0DE966BC">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3C1456FF">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0A7AF24D">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49E0798F">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4096BFC1">
            <w:pPr>
              <w:rPr>
                <w:rFonts w:hint="eastAsia" w:ascii="仿宋" w:hAnsi="仿宋" w:eastAsia="仿宋" w:cs="仿宋"/>
                <w:i w:val="0"/>
                <w:iCs w:val="0"/>
                <w:color w:val="000000"/>
                <w:sz w:val="10"/>
                <w:szCs w:val="10"/>
                <w:u w:val="none"/>
              </w:rPr>
            </w:pPr>
          </w:p>
        </w:tc>
        <w:tc>
          <w:tcPr>
            <w:tcW w:w="649" w:type="dxa"/>
            <w:tcBorders>
              <w:top w:val="single" w:color="000000" w:sz="4" w:space="0"/>
              <w:left w:val="single" w:color="000000" w:sz="4" w:space="0"/>
              <w:bottom w:val="single" w:color="000000" w:sz="4" w:space="0"/>
              <w:right w:val="nil"/>
            </w:tcBorders>
            <w:shd w:val="clear" w:color="auto" w:fill="auto"/>
            <w:noWrap/>
            <w:vAlign w:val="bottom"/>
          </w:tcPr>
          <w:p w14:paraId="0C28A997">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6369DA83">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4E425608">
            <w:pPr>
              <w:rPr>
                <w:rFonts w:hint="eastAsia" w:ascii="仿宋" w:hAnsi="仿宋" w:eastAsia="仿宋" w:cs="仿宋"/>
                <w:b/>
                <w:bCs/>
                <w:i w:val="0"/>
                <w:iCs w:val="0"/>
                <w:color w:val="000000"/>
                <w:sz w:val="10"/>
                <w:szCs w:val="10"/>
                <w:u w:val="none"/>
              </w:rPr>
            </w:pPr>
          </w:p>
        </w:tc>
        <w:tc>
          <w:tcPr>
            <w:tcW w:w="649" w:type="dxa"/>
            <w:tcBorders>
              <w:top w:val="single" w:color="000000" w:sz="4" w:space="0"/>
              <w:left w:val="single" w:color="000000" w:sz="4" w:space="0"/>
              <w:bottom w:val="single" w:color="000000" w:sz="4" w:space="0"/>
              <w:right w:val="nil"/>
            </w:tcBorders>
            <w:shd w:val="clear" w:color="auto" w:fill="auto"/>
            <w:noWrap/>
            <w:vAlign w:val="bottom"/>
          </w:tcPr>
          <w:p w14:paraId="14DA3989">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11,121.88 </w:t>
            </w:r>
          </w:p>
        </w:tc>
      </w:tr>
      <w:tr w14:paraId="60BE2DA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trPr>
        <w:tc>
          <w:tcPr>
            <w:tcW w:w="953" w:type="dxa"/>
            <w:tcBorders>
              <w:top w:val="single" w:color="000000" w:sz="4" w:space="0"/>
              <w:left w:val="nil"/>
              <w:bottom w:val="single" w:color="000000" w:sz="4" w:space="0"/>
              <w:right w:val="single" w:color="000000" w:sz="4" w:space="0"/>
            </w:tcBorders>
            <w:shd w:val="clear" w:color="auto" w:fill="auto"/>
            <w:noWrap/>
            <w:vAlign w:val="bottom"/>
          </w:tcPr>
          <w:p w14:paraId="602A96E9">
            <w:pPr>
              <w:keepNext w:val="0"/>
              <w:keepLines w:val="0"/>
              <w:widowControl/>
              <w:suppressLineNumbers w:val="0"/>
              <w:ind w:firstLineChars="100"/>
              <w:jc w:val="lef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1.2、债券资金流入</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F3882D">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10,000.00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7F722A">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10,000.00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5141CD">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10,000.00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A2796F">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10,000.00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261B71">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49DBBB">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57A3D8">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1C7629">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38E6B5">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65D32D">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474AC0">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431A26">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2583A4">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3459071E">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41365D2B">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260B887B">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1AE52D3B">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423C2AF7">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6543DE70">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2DBCD465">
            <w:pPr>
              <w:rPr>
                <w:rFonts w:hint="eastAsia" w:ascii="仿宋" w:hAnsi="仿宋" w:eastAsia="仿宋" w:cs="仿宋"/>
                <w:i w:val="0"/>
                <w:iCs w:val="0"/>
                <w:color w:val="000000"/>
                <w:sz w:val="10"/>
                <w:szCs w:val="10"/>
                <w:u w:val="none"/>
              </w:rPr>
            </w:pPr>
          </w:p>
        </w:tc>
        <w:tc>
          <w:tcPr>
            <w:tcW w:w="649" w:type="dxa"/>
            <w:tcBorders>
              <w:top w:val="single" w:color="000000" w:sz="4" w:space="0"/>
              <w:left w:val="single" w:color="000000" w:sz="4" w:space="0"/>
              <w:bottom w:val="single" w:color="000000" w:sz="4" w:space="0"/>
              <w:right w:val="nil"/>
            </w:tcBorders>
            <w:shd w:val="clear" w:color="auto" w:fill="auto"/>
            <w:noWrap/>
            <w:vAlign w:val="bottom"/>
          </w:tcPr>
          <w:p w14:paraId="04DB25F9">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34081EC4">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2E88A994">
            <w:pPr>
              <w:rPr>
                <w:rFonts w:hint="eastAsia" w:ascii="仿宋" w:hAnsi="仿宋" w:eastAsia="仿宋" w:cs="仿宋"/>
                <w:b/>
                <w:bCs/>
                <w:i w:val="0"/>
                <w:iCs w:val="0"/>
                <w:color w:val="000000"/>
                <w:sz w:val="10"/>
                <w:szCs w:val="10"/>
                <w:u w:val="none"/>
              </w:rPr>
            </w:pPr>
          </w:p>
        </w:tc>
        <w:tc>
          <w:tcPr>
            <w:tcW w:w="649" w:type="dxa"/>
            <w:tcBorders>
              <w:top w:val="single" w:color="000000" w:sz="4" w:space="0"/>
              <w:left w:val="single" w:color="000000" w:sz="4" w:space="0"/>
              <w:bottom w:val="single" w:color="000000" w:sz="4" w:space="0"/>
              <w:right w:val="nil"/>
            </w:tcBorders>
            <w:shd w:val="clear" w:color="auto" w:fill="auto"/>
            <w:noWrap/>
            <w:vAlign w:val="bottom"/>
          </w:tcPr>
          <w:p w14:paraId="71B1EB84">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40,000.00 </w:t>
            </w:r>
          </w:p>
        </w:tc>
      </w:tr>
      <w:tr w14:paraId="31833CE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trPr>
        <w:tc>
          <w:tcPr>
            <w:tcW w:w="953" w:type="dxa"/>
            <w:tcBorders>
              <w:top w:val="single" w:color="000000" w:sz="4" w:space="0"/>
              <w:left w:val="nil"/>
              <w:bottom w:val="single" w:color="000000" w:sz="4" w:space="0"/>
              <w:right w:val="single" w:color="000000" w:sz="4" w:space="0"/>
            </w:tcBorders>
            <w:shd w:val="clear" w:color="auto" w:fill="auto"/>
            <w:noWrap/>
            <w:vAlign w:val="bottom"/>
          </w:tcPr>
          <w:p w14:paraId="7953CB65">
            <w:pPr>
              <w:keepNext w:val="0"/>
              <w:keepLines w:val="0"/>
              <w:widowControl/>
              <w:suppressLineNumbers w:val="0"/>
              <w:ind w:firstLineChars="100"/>
              <w:jc w:val="lef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1.4、运营现金流入</w:t>
            </w:r>
          </w:p>
        </w:tc>
        <w:tc>
          <w:tcPr>
            <w:tcW w:w="604" w:type="dxa"/>
            <w:tcBorders>
              <w:top w:val="nil"/>
              <w:left w:val="nil"/>
              <w:bottom w:val="nil"/>
              <w:right w:val="nil"/>
            </w:tcBorders>
            <w:shd w:val="clear" w:color="auto" w:fill="auto"/>
            <w:noWrap/>
            <w:vAlign w:val="bottom"/>
          </w:tcPr>
          <w:p w14:paraId="32226AE0">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FD5C91">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DDF7D7">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52FC1C">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1,920.74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E75D50">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3,025.37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D1B4DF">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3,456.73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CF16A0">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4,082.50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4CCD90">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4,308.95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975F06">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4,308.95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8FBD39">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4,524.40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4FFBBD">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4,524.40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A51C27">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4,524.40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AA0E66">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4,750.62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E1260D">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4,750.62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D469AD">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4,750.62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6F245B">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4,988.15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9CF911">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4,988.15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58A17C">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4,988.15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20EBC5">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5,237.55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1DF695">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5,237.55 </w:t>
            </w:r>
          </w:p>
        </w:tc>
        <w:tc>
          <w:tcPr>
            <w:tcW w:w="649"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2ADD65">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5,237.55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D04AFA">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5,499.43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DBFA06">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5,499.43 </w:t>
            </w:r>
          </w:p>
        </w:tc>
        <w:tc>
          <w:tcPr>
            <w:tcW w:w="649" w:type="dxa"/>
            <w:tcBorders>
              <w:top w:val="single" w:color="000000" w:sz="4" w:space="0"/>
              <w:left w:val="single" w:color="000000" w:sz="4" w:space="0"/>
              <w:bottom w:val="single" w:color="000000" w:sz="4" w:space="0"/>
              <w:right w:val="nil"/>
            </w:tcBorders>
            <w:shd w:val="clear" w:color="auto" w:fill="auto"/>
            <w:noWrap/>
            <w:vAlign w:val="bottom"/>
          </w:tcPr>
          <w:p w14:paraId="76920384">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88,683.53 </w:t>
            </w:r>
          </w:p>
        </w:tc>
      </w:tr>
      <w:tr w14:paraId="418BA3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trPr>
        <w:tc>
          <w:tcPr>
            <w:tcW w:w="953" w:type="dxa"/>
            <w:tcBorders>
              <w:top w:val="single" w:color="000000" w:sz="4" w:space="0"/>
              <w:left w:val="nil"/>
              <w:bottom w:val="single" w:color="000000" w:sz="4" w:space="0"/>
              <w:right w:val="single" w:color="000000" w:sz="4" w:space="0"/>
            </w:tcBorders>
            <w:shd w:val="clear" w:color="auto" w:fill="auto"/>
            <w:noWrap/>
            <w:vAlign w:val="bottom"/>
          </w:tcPr>
          <w:p w14:paraId="14281AEC">
            <w:pPr>
              <w:keepNext w:val="0"/>
              <w:keepLines w:val="0"/>
              <w:widowControl/>
              <w:suppressLineNumbers w:val="0"/>
              <w:jc w:val="lef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2、资金流出</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FDD8C8">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11,331.88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E4E0DB">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13,000.00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E76CAD">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13,000.00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196353">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14,620.68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6BA1EC">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1,867.41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B8A60C">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1,885.65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BACE29">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1,918.60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F0D198">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1,928.18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D6A867">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1,928.18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571FC3">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2,110.16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613B81">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2,110.16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154F1F">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2,110.16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ED703A">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2,179.05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F7B446">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2,190.38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137E3E">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2,190.38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29D844">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2,262.61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B18337">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2,262.61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9AD817">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2,262.61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938BC1">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2,338.34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1FA2FE">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2,338.34 </w:t>
            </w:r>
          </w:p>
        </w:tc>
        <w:tc>
          <w:tcPr>
            <w:tcW w:w="649"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68D93B">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22,293.34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FDC5BC">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11,877.75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64AB9E">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11,607.75 </w:t>
            </w:r>
          </w:p>
        </w:tc>
        <w:tc>
          <w:tcPr>
            <w:tcW w:w="649" w:type="dxa"/>
            <w:tcBorders>
              <w:top w:val="single" w:color="000000" w:sz="4" w:space="0"/>
              <w:left w:val="single" w:color="000000" w:sz="4" w:space="0"/>
              <w:bottom w:val="single" w:color="000000" w:sz="4" w:space="0"/>
              <w:right w:val="nil"/>
            </w:tcBorders>
            <w:shd w:val="clear" w:color="auto" w:fill="auto"/>
            <w:noWrap/>
            <w:vAlign w:val="bottom"/>
          </w:tcPr>
          <w:p w14:paraId="179A7BC5">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131,614.23 </w:t>
            </w:r>
          </w:p>
        </w:tc>
      </w:tr>
      <w:tr w14:paraId="1C21A9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trPr>
        <w:tc>
          <w:tcPr>
            <w:tcW w:w="953" w:type="dxa"/>
            <w:tcBorders>
              <w:top w:val="single" w:color="000000" w:sz="4" w:space="0"/>
              <w:left w:val="nil"/>
              <w:bottom w:val="single" w:color="000000" w:sz="4" w:space="0"/>
              <w:right w:val="single" w:color="000000" w:sz="4" w:space="0"/>
            </w:tcBorders>
            <w:shd w:val="clear" w:color="auto" w:fill="auto"/>
            <w:noWrap/>
            <w:vAlign w:val="bottom"/>
          </w:tcPr>
          <w:p w14:paraId="77444436">
            <w:pPr>
              <w:keepNext w:val="0"/>
              <w:keepLines w:val="0"/>
              <w:widowControl/>
              <w:suppressLineNumbers w:val="0"/>
              <w:ind w:firstLineChars="100"/>
              <w:jc w:val="lef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2.1、建设投资资金流出</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B5A6FE">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11,061.88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51D286">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11,920.00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FF8CD7">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11,560.00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8960AC">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12,800.00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26EF8C">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6D9AB2">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44701F">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982BD0">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689FCA">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3A80E0">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64ACE5">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616C7B">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21C69D">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7F7525AD">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6F407966">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7947F2EE">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7D65A342">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47ED8DA7">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00D05398">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0288C91B">
            <w:pPr>
              <w:rPr>
                <w:rFonts w:hint="eastAsia" w:ascii="仿宋" w:hAnsi="仿宋" w:eastAsia="仿宋" w:cs="仿宋"/>
                <w:i w:val="0"/>
                <w:iCs w:val="0"/>
                <w:color w:val="000000"/>
                <w:sz w:val="10"/>
                <w:szCs w:val="10"/>
                <w:u w:val="none"/>
              </w:rPr>
            </w:pPr>
          </w:p>
        </w:tc>
        <w:tc>
          <w:tcPr>
            <w:tcW w:w="649" w:type="dxa"/>
            <w:tcBorders>
              <w:top w:val="single" w:color="000000" w:sz="4" w:space="0"/>
              <w:left w:val="single" w:color="000000" w:sz="4" w:space="0"/>
              <w:bottom w:val="single" w:color="000000" w:sz="4" w:space="0"/>
              <w:right w:val="nil"/>
            </w:tcBorders>
            <w:shd w:val="clear" w:color="auto" w:fill="auto"/>
            <w:noWrap/>
            <w:vAlign w:val="bottom"/>
          </w:tcPr>
          <w:p w14:paraId="1C76A119">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68EAF881">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nil"/>
            </w:tcBorders>
            <w:shd w:val="clear" w:color="auto" w:fill="auto"/>
            <w:noWrap/>
            <w:vAlign w:val="bottom"/>
          </w:tcPr>
          <w:p w14:paraId="037184D0">
            <w:pPr>
              <w:rPr>
                <w:rFonts w:hint="eastAsia" w:ascii="仿宋" w:hAnsi="仿宋" w:eastAsia="仿宋" w:cs="仿宋"/>
                <w:b/>
                <w:bCs/>
                <w:i w:val="0"/>
                <w:iCs w:val="0"/>
                <w:color w:val="000000"/>
                <w:sz w:val="10"/>
                <w:szCs w:val="10"/>
                <w:u w:val="none"/>
              </w:rPr>
            </w:pPr>
          </w:p>
        </w:tc>
        <w:tc>
          <w:tcPr>
            <w:tcW w:w="649" w:type="dxa"/>
            <w:tcBorders>
              <w:top w:val="single" w:color="000000" w:sz="4" w:space="0"/>
              <w:left w:val="single" w:color="000000" w:sz="4" w:space="0"/>
              <w:bottom w:val="single" w:color="000000" w:sz="4" w:space="0"/>
              <w:right w:val="nil"/>
            </w:tcBorders>
            <w:shd w:val="clear" w:color="auto" w:fill="auto"/>
            <w:noWrap/>
            <w:vAlign w:val="bottom"/>
          </w:tcPr>
          <w:p w14:paraId="4429A949">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47,341.88 </w:t>
            </w:r>
          </w:p>
        </w:tc>
      </w:tr>
      <w:tr w14:paraId="510A3E1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trPr>
        <w:tc>
          <w:tcPr>
            <w:tcW w:w="953" w:type="dxa"/>
            <w:tcBorders>
              <w:top w:val="single" w:color="000000" w:sz="4" w:space="0"/>
              <w:left w:val="nil"/>
              <w:bottom w:val="single" w:color="000000" w:sz="4" w:space="0"/>
              <w:right w:val="single" w:color="000000" w:sz="4" w:space="0"/>
            </w:tcBorders>
            <w:shd w:val="clear" w:color="auto" w:fill="auto"/>
            <w:noWrap/>
            <w:vAlign w:val="bottom"/>
          </w:tcPr>
          <w:p w14:paraId="443BABC8">
            <w:pPr>
              <w:keepNext w:val="0"/>
              <w:keepLines w:val="0"/>
              <w:widowControl/>
              <w:suppressLineNumbers w:val="0"/>
              <w:ind w:firstLineChars="100"/>
              <w:jc w:val="lef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2.2、运营现金流出</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B17065">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EA4A59">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FDF59A">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DAC8A9">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380.68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10B9FB">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427.41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9FC943">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445.65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6F2A30">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478.60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D005A3">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488.18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B0BCC4">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488.18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79C620">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670.16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48DC64">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670.16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5576F7">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670.16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6B2DE2">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739.05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3E9B41">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750.38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8B418F">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750.38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76EAD7">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822.61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B02BBE">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822.61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BF11C2">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822.61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BF5EDE">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898.34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77797C">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898.34 </w:t>
            </w:r>
          </w:p>
        </w:tc>
        <w:tc>
          <w:tcPr>
            <w:tcW w:w="649"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224488">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913.34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CD10A5">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1,157.75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3D1664">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1,247.75 </w:t>
            </w:r>
          </w:p>
        </w:tc>
        <w:tc>
          <w:tcPr>
            <w:tcW w:w="649" w:type="dxa"/>
            <w:tcBorders>
              <w:top w:val="single" w:color="000000" w:sz="4" w:space="0"/>
              <w:left w:val="single" w:color="000000" w:sz="4" w:space="0"/>
              <w:bottom w:val="single" w:color="000000" w:sz="4" w:space="0"/>
              <w:right w:val="nil"/>
            </w:tcBorders>
            <w:shd w:val="clear" w:color="auto" w:fill="auto"/>
            <w:noWrap/>
            <w:vAlign w:val="bottom"/>
          </w:tcPr>
          <w:p w14:paraId="09A5A1E5">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14,542.35 </w:t>
            </w:r>
          </w:p>
        </w:tc>
      </w:tr>
      <w:tr w14:paraId="3B41DB7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trPr>
        <w:tc>
          <w:tcPr>
            <w:tcW w:w="953" w:type="dxa"/>
            <w:tcBorders>
              <w:top w:val="single" w:color="000000" w:sz="4" w:space="0"/>
              <w:left w:val="nil"/>
              <w:bottom w:val="single" w:color="000000" w:sz="4" w:space="0"/>
              <w:right w:val="single" w:color="000000" w:sz="4" w:space="0"/>
            </w:tcBorders>
            <w:shd w:val="clear" w:color="auto" w:fill="auto"/>
            <w:noWrap/>
            <w:vAlign w:val="bottom"/>
          </w:tcPr>
          <w:p w14:paraId="491A0E51">
            <w:pPr>
              <w:keepNext w:val="0"/>
              <w:keepLines w:val="0"/>
              <w:widowControl/>
              <w:suppressLineNumbers w:val="0"/>
              <w:ind w:firstLineChars="100"/>
              <w:jc w:val="lef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2.3、发债利息支出</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7E1F9D">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270.00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42B0D0">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1,080.00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8B30AF">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1,440.00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8558AE">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1,440.00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5EB237">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1,440.00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513F4D">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1,440.00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3D7E7F">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1,440.00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5FDD17">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1,440.00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EAD6B6">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1,440.00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A6F0B9">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1,440.00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9A337A">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1,440.00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501A67">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1,440.00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BAFAF7">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1,440.00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05D670">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1,440.00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0D4AD6">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1,440.00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E8D904">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1,440.00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C28157">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1,440.00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44106F">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1,440.00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E5A076">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1,440.00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10DC56">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1,440.00 </w:t>
            </w:r>
          </w:p>
        </w:tc>
        <w:tc>
          <w:tcPr>
            <w:tcW w:w="649"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4211C3">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1,380.00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82FADA">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720.00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52195C">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360.00 </w:t>
            </w:r>
          </w:p>
        </w:tc>
        <w:tc>
          <w:tcPr>
            <w:tcW w:w="649" w:type="dxa"/>
            <w:tcBorders>
              <w:top w:val="single" w:color="000000" w:sz="4" w:space="0"/>
              <w:left w:val="single" w:color="000000" w:sz="4" w:space="0"/>
              <w:bottom w:val="single" w:color="000000" w:sz="4" w:space="0"/>
              <w:right w:val="nil"/>
            </w:tcBorders>
            <w:shd w:val="clear" w:color="auto" w:fill="auto"/>
            <w:noWrap/>
            <w:vAlign w:val="bottom"/>
          </w:tcPr>
          <w:p w14:paraId="6A6410F5">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29,730.00 </w:t>
            </w:r>
          </w:p>
        </w:tc>
      </w:tr>
      <w:tr w14:paraId="4E6CD7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trPr>
        <w:tc>
          <w:tcPr>
            <w:tcW w:w="953" w:type="dxa"/>
            <w:tcBorders>
              <w:top w:val="single" w:color="000000" w:sz="4" w:space="0"/>
              <w:left w:val="nil"/>
              <w:bottom w:val="single" w:color="000000" w:sz="4" w:space="0"/>
              <w:right w:val="single" w:color="000000" w:sz="4" w:space="0"/>
            </w:tcBorders>
            <w:shd w:val="clear" w:color="auto" w:fill="auto"/>
            <w:noWrap/>
            <w:vAlign w:val="bottom"/>
          </w:tcPr>
          <w:p w14:paraId="2F6BC652">
            <w:pPr>
              <w:keepNext w:val="0"/>
              <w:keepLines w:val="0"/>
              <w:widowControl/>
              <w:suppressLineNumbers w:val="0"/>
              <w:ind w:firstLineChars="100"/>
              <w:jc w:val="lef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2.5、归还债券本金</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EFEDDF">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AF0C36">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9A7379">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8C5995">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6860A1">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AC8AEF">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2315DC">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259FBA">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AD753A">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2510AD">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B37288">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47460B">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B3653D">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94DBD5">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F8E457">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E1933B">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C3BB00">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6626D4">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46EF68">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BC69F8">
            <w:pPr>
              <w:rPr>
                <w:rFonts w:hint="eastAsia" w:ascii="仿宋" w:hAnsi="仿宋" w:eastAsia="仿宋" w:cs="仿宋"/>
                <w:i w:val="0"/>
                <w:iCs w:val="0"/>
                <w:color w:val="000000"/>
                <w:sz w:val="10"/>
                <w:szCs w:val="10"/>
                <w:u w:val="none"/>
              </w:rPr>
            </w:pPr>
          </w:p>
        </w:tc>
        <w:tc>
          <w:tcPr>
            <w:tcW w:w="649"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4C08E2">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20,000.00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A358F3">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10,000.00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3B3E00">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10,000.00 </w:t>
            </w:r>
          </w:p>
        </w:tc>
        <w:tc>
          <w:tcPr>
            <w:tcW w:w="649" w:type="dxa"/>
            <w:tcBorders>
              <w:top w:val="single" w:color="000000" w:sz="4" w:space="0"/>
              <w:left w:val="single" w:color="000000" w:sz="4" w:space="0"/>
              <w:bottom w:val="single" w:color="000000" w:sz="4" w:space="0"/>
              <w:right w:val="nil"/>
            </w:tcBorders>
            <w:shd w:val="clear" w:color="auto" w:fill="auto"/>
            <w:noWrap/>
            <w:vAlign w:val="bottom"/>
          </w:tcPr>
          <w:p w14:paraId="49BFDD4C">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40,000.00 </w:t>
            </w:r>
          </w:p>
        </w:tc>
      </w:tr>
      <w:tr w14:paraId="2A916BF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trPr>
        <w:tc>
          <w:tcPr>
            <w:tcW w:w="953" w:type="dxa"/>
            <w:tcBorders>
              <w:top w:val="single" w:color="000000" w:sz="4" w:space="0"/>
              <w:left w:val="nil"/>
              <w:bottom w:val="single" w:color="000000" w:sz="4" w:space="0"/>
              <w:right w:val="single" w:color="000000" w:sz="4" w:space="0"/>
            </w:tcBorders>
            <w:shd w:val="clear" w:color="auto" w:fill="auto"/>
            <w:noWrap/>
            <w:vAlign w:val="bottom"/>
          </w:tcPr>
          <w:p w14:paraId="3F2FA039">
            <w:pPr>
              <w:keepNext w:val="0"/>
              <w:keepLines w:val="0"/>
              <w:widowControl/>
              <w:suppressLineNumbers w:val="0"/>
              <w:jc w:val="lef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3、现金净流入</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4D5EC7">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-210.00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13A827">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21807B">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EE447E">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1,300.07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FC05DE">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1,157.96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2617FF">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1,571.08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A5AD43">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2,163.89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E9D0B7">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2,380.77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967D97">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2,380.77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E0F94F">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2,414.24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302E82">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2,414.24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7FFF83">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2,414.24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649644">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2,571.57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69C61B">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2,560.24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CB984A">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2,560.24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1265C6">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2,725.54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FFDBCA">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2,725.54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297ECD">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2,725.54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D65FF1">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2,899.21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A4378A">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2,899.21 </w:t>
            </w:r>
          </w:p>
        </w:tc>
        <w:tc>
          <w:tcPr>
            <w:tcW w:w="649"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1DA52F">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-17,055.79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09512B">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-6,378.32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93997C">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-6,108.32 </w:t>
            </w:r>
          </w:p>
        </w:tc>
        <w:tc>
          <w:tcPr>
            <w:tcW w:w="649" w:type="dxa"/>
            <w:tcBorders>
              <w:top w:val="single" w:color="000000" w:sz="4" w:space="0"/>
              <w:left w:val="single" w:color="000000" w:sz="4" w:space="0"/>
              <w:bottom w:val="single" w:color="000000" w:sz="4" w:space="0"/>
              <w:right w:val="nil"/>
            </w:tcBorders>
            <w:shd w:val="clear" w:color="auto" w:fill="auto"/>
            <w:noWrap/>
            <w:vAlign w:val="bottom"/>
          </w:tcPr>
          <w:p w14:paraId="5E121C85">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10,111.92 </w:t>
            </w:r>
          </w:p>
        </w:tc>
      </w:tr>
      <w:tr w14:paraId="101E74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trPr>
        <w:tc>
          <w:tcPr>
            <w:tcW w:w="953" w:type="dxa"/>
            <w:tcBorders>
              <w:top w:val="single" w:color="000000" w:sz="4" w:space="0"/>
              <w:left w:val="nil"/>
              <w:bottom w:val="single" w:color="000000" w:sz="4" w:space="0"/>
              <w:right w:val="single" w:color="000000" w:sz="4" w:space="0"/>
            </w:tcBorders>
            <w:shd w:val="clear" w:color="auto" w:fill="auto"/>
            <w:noWrap/>
            <w:vAlign w:val="bottom"/>
          </w:tcPr>
          <w:p w14:paraId="157B9E85">
            <w:pPr>
              <w:keepNext w:val="0"/>
              <w:keepLines w:val="0"/>
              <w:widowControl/>
              <w:suppressLineNumbers w:val="0"/>
              <w:ind w:firstLineChars="100"/>
              <w:jc w:val="lef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3.1、本息前运营现金净流入</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1B548A">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02020C">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6466EE">
            <w:pPr>
              <w:rPr>
                <w:rFonts w:hint="eastAsia" w:ascii="仿宋" w:hAnsi="仿宋" w:eastAsia="仿宋" w:cs="仿宋"/>
                <w:i w:val="0"/>
                <w:iCs w:val="0"/>
                <w:color w:val="000000"/>
                <w:sz w:val="10"/>
                <w:szCs w:val="10"/>
                <w:u w:val="none"/>
              </w:rPr>
            </w:pP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92AC48">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1,300.07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FE6707">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2,597.96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4A14FD">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3,011.08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823354">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3,603.89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F29D6E">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3,820.77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D81614">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3,820.77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9FEE47">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3,854.24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5427D6">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3,854.24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7FC3D3">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3,854.24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53E458">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4,011.57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F7DBAB">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4,000.24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03D7CD">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4,000.24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42B728">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4,165.54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4B3BCD">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4,165.54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7B731E">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4,165.54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05506F">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4,339.21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D52D01">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4,339.21 </w:t>
            </w:r>
          </w:p>
        </w:tc>
        <w:tc>
          <w:tcPr>
            <w:tcW w:w="649"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3409EA">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4,324.21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840F33">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4,341.68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1810E9">
            <w:pPr>
              <w:keepNext w:val="0"/>
              <w:keepLines w:val="0"/>
              <w:widowControl/>
              <w:suppressLineNumbers w:val="0"/>
              <w:jc w:val="right"/>
              <w:textAlignment w:val="bottom"/>
              <w:rPr>
                <w:rFonts w:hint="eastAsia" w:ascii="仿宋" w:hAnsi="仿宋" w:eastAsia="仿宋" w:cs="仿宋"/>
                <w:i w:val="0"/>
                <w:iCs w:val="0"/>
                <w:color w:val="000000"/>
                <w:sz w:val="10"/>
                <w:szCs w:val="10"/>
                <w:u w:val="none"/>
              </w:rPr>
            </w:pPr>
            <w:r>
              <w:rPr>
                <w:rFonts w:hint="eastAsia" w:ascii="仿宋" w:hAnsi="仿宋" w:eastAsia="仿宋" w:cs="仿宋"/>
                <w:i w:val="0"/>
                <w:iCs w:val="0"/>
                <w:color w:val="000000"/>
                <w:kern w:val="0"/>
                <w:sz w:val="10"/>
                <w:szCs w:val="10"/>
                <w:u w:val="none"/>
                <w:lang w:val="en-US" w:eastAsia="zh-CN" w:bidi="ar"/>
              </w:rPr>
              <w:t xml:space="preserve"> 4,251.68 </w:t>
            </w:r>
          </w:p>
        </w:tc>
        <w:tc>
          <w:tcPr>
            <w:tcW w:w="649" w:type="dxa"/>
            <w:tcBorders>
              <w:top w:val="single" w:color="000000" w:sz="4" w:space="0"/>
              <w:left w:val="single" w:color="000000" w:sz="4" w:space="0"/>
              <w:bottom w:val="single" w:color="000000" w:sz="4" w:space="0"/>
              <w:right w:val="nil"/>
            </w:tcBorders>
            <w:shd w:val="clear" w:color="auto" w:fill="auto"/>
            <w:noWrap/>
            <w:vAlign w:val="bottom"/>
          </w:tcPr>
          <w:p w14:paraId="1E2889EE">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75,821.92 </w:t>
            </w:r>
          </w:p>
        </w:tc>
      </w:tr>
      <w:tr w14:paraId="702C214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trPr>
        <w:tc>
          <w:tcPr>
            <w:tcW w:w="953" w:type="dxa"/>
            <w:tcBorders>
              <w:top w:val="single" w:color="000000" w:sz="4" w:space="0"/>
              <w:left w:val="nil"/>
              <w:bottom w:val="single" w:color="000000" w:sz="8" w:space="0"/>
              <w:right w:val="single" w:color="000000" w:sz="4" w:space="0"/>
            </w:tcBorders>
            <w:shd w:val="clear" w:color="auto" w:fill="auto"/>
            <w:noWrap/>
            <w:vAlign w:val="bottom"/>
          </w:tcPr>
          <w:p w14:paraId="52E3F820">
            <w:pPr>
              <w:keepNext w:val="0"/>
              <w:keepLines w:val="0"/>
              <w:widowControl/>
              <w:suppressLineNumbers w:val="0"/>
              <w:jc w:val="lef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4、期末累计现金结存</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1587D6">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-210.00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A32857">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3457F9">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F4669B">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1,300.07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29C616">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2,458.03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FF6164">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4,029.11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74391F">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6,193.00 </w:t>
            </w:r>
          </w:p>
        </w:tc>
        <w:tc>
          <w:tcPr>
            <w:tcW w:w="55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6C9C9B">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8,573.77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E96AA4">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10,954.54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6093CB">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13,368.78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613423">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15,783.02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A273D9">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18,197.26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513627">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20,768.83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06912E">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23,329.07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BBED00">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25,889.31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F0E1C6">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28,614.85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012B5F">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31,340.39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5388AA">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34,065.93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6D5248">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36,965.14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14D52E">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39,864.35 </w:t>
            </w:r>
          </w:p>
        </w:tc>
        <w:tc>
          <w:tcPr>
            <w:tcW w:w="649"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F95EB9">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22,808.56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B13DD4">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16,430.24 </w:t>
            </w:r>
          </w:p>
        </w:tc>
        <w:tc>
          <w:tcPr>
            <w:tcW w:w="604"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1A578D">
            <w:pPr>
              <w:keepNext w:val="0"/>
              <w:keepLines w:val="0"/>
              <w:widowControl/>
              <w:suppressLineNumbers w:val="0"/>
              <w:jc w:val="right"/>
              <w:textAlignment w:val="bottom"/>
              <w:rPr>
                <w:rFonts w:hint="eastAsia" w:ascii="仿宋" w:hAnsi="仿宋" w:eastAsia="仿宋" w:cs="仿宋"/>
                <w:b/>
                <w:bCs/>
                <w:i w:val="0"/>
                <w:iCs w:val="0"/>
                <w:color w:val="000000"/>
                <w:sz w:val="10"/>
                <w:szCs w:val="10"/>
                <w:u w:val="none"/>
              </w:rPr>
            </w:pPr>
            <w:r>
              <w:rPr>
                <w:rFonts w:hint="eastAsia" w:ascii="仿宋" w:hAnsi="仿宋" w:eastAsia="仿宋" w:cs="仿宋"/>
                <w:b/>
                <w:bCs/>
                <w:i w:val="0"/>
                <w:iCs w:val="0"/>
                <w:color w:val="000000"/>
                <w:kern w:val="0"/>
                <w:sz w:val="10"/>
                <w:szCs w:val="10"/>
                <w:u w:val="none"/>
                <w:lang w:val="en-US" w:eastAsia="zh-CN" w:bidi="ar"/>
              </w:rPr>
              <w:t xml:space="preserve"> 10,321.92 </w:t>
            </w:r>
          </w:p>
        </w:tc>
        <w:tc>
          <w:tcPr>
            <w:tcW w:w="649"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2B7785">
            <w:pPr>
              <w:rPr>
                <w:rFonts w:hint="eastAsia" w:ascii="仿宋" w:hAnsi="仿宋" w:eastAsia="仿宋" w:cs="仿宋"/>
                <w:b/>
                <w:bCs/>
                <w:i w:val="0"/>
                <w:iCs w:val="0"/>
                <w:color w:val="000000"/>
                <w:sz w:val="10"/>
                <w:szCs w:val="10"/>
                <w:u w:val="none"/>
              </w:rPr>
            </w:pPr>
          </w:p>
        </w:tc>
      </w:tr>
    </w:tbl>
    <w:p w14:paraId="763A25A0">
      <w:pPr>
        <w:pStyle w:val="7"/>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仿宋" w:hAnsi="仿宋" w:eastAsia="仿宋" w:cs="仿宋"/>
          <w:b/>
          <w:bCs/>
          <w:sz w:val="21"/>
          <w:szCs w:val="21"/>
          <w:highlight w:val="none"/>
          <w:lang w:val="en-US" w:eastAsia="zh-CN"/>
        </w:rPr>
      </w:pPr>
    </w:p>
    <w:p w14:paraId="61B250DF">
      <w:pPr>
        <w:pStyle w:val="7"/>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仿宋" w:hAnsi="仿宋" w:eastAsia="仿宋" w:cs="仿宋"/>
          <w:b/>
          <w:bCs/>
          <w:sz w:val="21"/>
          <w:szCs w:val="21"/>
          <w:highlight w:val="none"/>
          <w:lang w:val="en-US" w:eastAsia="zh-CN"/>
        </w:rPr>
      </w:pPr>
    </w:p>
    <w:p w14:paraId="64097397">
      <w:pPr>
        <w:pStyle w:val="7"/>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仿宋" w:hAnsi="仿宋" w:eastAsia="仿宋" w:cs="仿宋"/>
          <w:sz w:val="32"/>
          <w:szCs w:val="32"/>
          <w:highlight w:val="none"/>
          <w:lang w:val="en-US" w:eastAsia="zh-CN"/>
        </w:rPr>
        <w:sectPr>
          <w:pgSz w:w="16838" w:h="11906" w:orient="landscape"/>
          <w:pgMar w:top="1800" w:right="1440" w:bottom="1800" w:left="1440" w:header="851" w:footer="992" w:gutter="0"/>
          <w:cols w:space="425" w:num="1"/>
          <w:docGrid w:type="lines" w:linePitch="312" w:charSpace="0"/>
        </w:sectPr>
      </w:pPr>
    </w:p>
    <w:p w14:paraId="0AE80C4C">
      <w:pPr>
        <w:widowControl w:val="0"/>
        <w:bidi w:val="0"/>
        <w:adjustRightInd w:val="0"/>
        <w:snapToGrid w:val="0"/>
        <w:spacing w:before="50" w:beforeLines="50" w:after="50" w:afterLines="50" w:line="360" w:lineRule="auto"/>
        <w:ind w:firstLine="480" w:firstLineChars="150"/>
        <w:jc w:val="left"/>
        <w:outlineLvl w:val="1"/>
        <w:rPr>
          <w:rFonts w:hint="eastAsia" w:ascii="Times New Roman" w:hAnsi="Times New Roman" w:eastAsia="黑体" w:cs="Times New Roman"/>
          <w:b w:val="0"/>
          <w:bCs w:val="0"/>
          <w:kern w:val="2"/>
          <w:sz w:val="32"/>
          <w:szCs w:val="32"/>
          <w:lang w:val="en-US" w:eastAsia="zh-CN" w:bidi="ar-SA"/>
        </w:rPr>
      </w:pPr>
      <w:r>
        <w:rPr>
          <w:rFonts w:hint="eastAsia" w:ascii="Times New Roman" w:hAnsi="Times New Roman" w:eastAsia="黑体" w:cs="Times New Roman"/>
          <w:b w:val="0"/>
          <w:bCs w:val="0"/>
          <w:kern w:val="2"/>
          <w:sz w:val="32"/>
          <w:szCs w:val="32"/>
          <w:lang w:val="en-US" w:eastAsia="zh-CN" w:bidi="ar-SA"/>
        </w:rPr>
        <w:t>五、项目绩效目标</w:t>
      </w:r>
    </w:p>
    <w:tbl>
      <w:tblPr>
        <w:tblStyle w:val="12"/>
        <w:tblW w:w="4869" w:type="pct"/>
        <w:tblInd w:w="0" w:type="dxa"/>
        <w:tblLayout w:type="autofit"/>
        <w:tblCellMar>
          <w:top w:w="0" w:type="dxa"/>
          <w:left w:w="108" w:type="dxa"/>
          <w:bottom w:w="0" w:type="dxa"/>
          <w:right w:w="108" w:type="dxa"/>
        </w:tblCellMar>
      </w:tblPr>
      <w:tblGrid>
        <w:gridCol w:w="360"/>
        <w:gridCol w:w="461"/>
        <w:gridCol w:w="711"/>
        <w:gridCol w:w="1568"/>
        <w:gridCol w:w="1314"/>
        <w:gridCol w:w="872"/>
        <w:gridCol w:w="542"/>
        <w:gridCol w:w="1003"/>
        <w:gridCol w:w="1468"/>
      </w:tblGrid>
      <w:tr w14:paraId="17BC3097">
        <w:tblPrEx>
          <w:tblCellMar>
            <w:top w:w="0" w:type="dxa"/>
            <w:left w:w="108" w:type="dxa"/>
            <w:bottom w:w="0" w:type="dxa"/>
            <w:right w:w="108" w:type="dxa"/>
          </w:tblCellMar>
        </w:tblPrEx>
        <w:trPr>
          <w:trHeight w:val="612" w:hRule="atLeast"/>
        </w:trPr>
        <w:tc>
          <w:tcPr>
            <w:tcW w:w="5000" w:type="pct"/>
            <w:gridSpan w:val="9"/>
            <w:tcBorders>
              <w:top w:val="nil"/>
              <w:left w:val="nil"/>
              <w:bottom w:val="nil"/>
              <w:right w:val="nil"/>
            </w:tcBorders>
            <w:shd w:val="clear" w:color="auto" w:fill="auto"/>
            <w:vAlign w:val="center"/>
          </w:tcPr>
          <w:p w14:paraId="5EE7C7BA">
            <w:pPr>
              <w:widowControl/>
              <w:spacing w:before="0" w:after="0" w:line="0" w:lineRule="atLeast"/>
              <w:ind w:firstLine="0" w:firstLineChars="0"/>
              <w:jc w:val="center"/>
              <w:rPr>
                <w:rFonts w:ascii="Times New Roman" w:hAnsi="Times New Roman" w:eastAsia="宋体" w:cs="Times New Roman"/>
                <w:color w:val="auto"/>
                <w:kern w:val="0"/>
                <w:sz w:val="20"/>
                <w:szCs w:val="20"/>
                <w:highlight w:val="none"/>
              </w:rPr>
            </w:pPr>
            <w:r>
              <w:rPr>
                <w:rFonts w:ascii="Times New Roman" w:hAnsi="Times New Roman" w:eastAsia="宋体" w:cs="Times New Roman"/>
                <w:color w:val="auto"/>
                <w:kern w:val="0"/>
                <w:sz w:val="20"/>
                <w:szCs w:val="20"/>
                <w:highlight w:val="none"/>
              </w:rPr>
              <w:t>四川省地方政府专项债券项目资金绩效目标表</w:t>
            </w:r>
          </w:p>
        </w:tc>
      </w:tr>
      <w:tr w14:paraId="64AF87C3">
        <w:tblPrEx>
          <w:tblCellMar>
            <w:top w:w="0" w:type="dxa"/>
            <w:left w:w="108" w:type="dxa"/>
            <w:bottom w:w="0" w:type="dxa"/>
            <w:right w:w="108" w:type="dxa"/>
          </w:tblCellMar>
        </w:tblPrEx>
        <w:trPr>
          <w:trHeight w:val="348" w:hRule="atLeast"/>
        </w:trPr>
        <w:tc>
          <w:tcPr>
            <w:tcW w:w="5000" w:type="pct"/>
            <w:gridSpan w:val="9"/>
            <w:tcBorders>
              <w:top w:val="nil"/>
              <w:left w:val="nil"/>
              <w:bottom w:val="nil"/>
              <w:right w:val="nil"/>
            </w:tcBorders>
            <w:shd w:val="clear" w:color="auto" w:fill="auto"/>
            <w:vAlign w:val="center"/>
          </w:tcPr>
          <w:p w14:paraId="6D7651D2">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 202</w:t>
            </w:r>
            <w:r>
              <w:rPr>
                <w:rFonts w:hint="eastAsia" w:ascii="Times New Roman" w:hAnsi="Times New Roman" w:eastAsia="宋体" w:cs="Times New Roman"/>
                <w:color w:val="auto"/>
                <w:kern w:val="0"/>
                <w:sz w:val="13"/>
                <w:szCs w:val="13"/>
                <w:highlight w:val="none"/>
                <w:lang w:val="en-US" w:eastAsia="zh-CN"/>
              </w:rPr>
              <w:t>5</w:t>
            </w:r>
            <w:r>
              <w:rPr>
                <w:rFonts w:ascii="Times New Roman" w:hAnsi="Times New Roman" w:eastAsia="宋体" w:cs="Times New Roman"/>
                <w:color w:val="auto"/>
                <w:kern w:val="0"/>
                <w:sz w:val="13"/>
                <w:szCs w:val="13"/>
                <w:highlight w:val="none"/>
              </w:rPr>
              <w:t>年度）</w:t>
            </w:r>
          </w:p>
        </w:tc>
      </w:tr>
      <w:tr w14:paraId="77771743">
        <w:tblPrEx>
          <w:tblCellMar>
            <w:top w:w="0" w:type="dxa"/>
            <w:left w:w="108" w:type="dxa"/>
            <w:bottom w:w="0" w:type="dxa"/>
            <w:right w:w="108" w:type="dxa"/>
          </w:tblCellMar>
        </w:tblPrEx>
        <w:trPr>
          <w:trHeight w:val="348" w:hRule="atLeast"/>
        </w:trPr>
        <w:tc>
          <w:tcPr>
            <w:tcW w:w="2748" w:type="pct"/>
            <w:gridSpan w:val="5"/>
            <w:tcBorders>
              <w:top w:val="nil"/>
              <w:left w:val="nil"/>
              <w:bottom w:val="nil"/>
              <w:right w:val="nil"/>
            </w:tcBorders>
            <w:shd w:val="clear" w:color="auto" w:fill="auto"/>
            <w:noWrap/>
            <w:vAlign w:val="center"/>
          </w:tcPr>
          <w:p w14:paraId="1087FADA">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填报单位：</w:t>
            </w:r>
            <w:r>
              <w:rPr>
                <w:rFonts w:hint="eastAsia" w:ascii="Times New Roman" w:hAnsi="Times New Roman" w:eastAsia="宋体" w:cs="Times New Roman"/>
                <w:color w:val="auto"/>
                <w:kern w:val="0"/>
                <w:sz w:val="13"/>
                <w:szCs w:val="13"/>
                <w:highlight w:val="none"/>
              </w:rPr>
              <w:t>泸州市政府投资建设工程管理第一中心</w:t>
            </w:r>
            <w:r>
              <w:rPr>
                <w:rFonts w:ascii="Times New Roman" w:hAnsi="Times New Roman" w:eastAsia="宋体" w:cs="Times New Roman"/>
                <w:color w:val="auto"/>
                <w:kern w:val="0"/>
                <w:sz w:val="13"/>
                <w:szCs w:val="13"/>
                <w:highlight w:val="none"/>
              </w:rPr>
              <w:t>（盖章）</w:t>
            </w:r>
          </w:p>
        </w:tc>
        <w:tc>
          <w:tcPr>
            <w:tcW w:w="543" w:type="pct"/>
            <w:tcBorders>
              <w:top w:val="nil"/>
              <w:left w:val="nil"/>
              <w:bottom w:val="nil"/>
              <w:right w:val="nil"/>
            </w:tcBorders>
            <w:shd w:val="clear" w:color="auto" w:fill="auto"/>
            <w:vAlign w:val="center"/>
          </w:tcPr>
          <w:p w14:paraId="35102103">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344" w:type="pct"/>
            <w:tcBorders>
              <w:top w:val="nil"/>
              <w:left w:val="nil"/>
              <w:bottom w:val="nil"/>
              <w:right w:val="nil"/>
            </w:tcBorders>
            <w:shd w:val="clear" w:color="auto" w:fill="auto"/>
            <w:vAlign w:val="center"/>
          </w:tcPr>
          <w:p w14:paraId="4D281F70">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554" w:type="pct"/>
            <w:tcBorders>
              <w:top w:val="nil"/>
              <w:left w:val="nil"/>
              <w:bottom w:val="nil"/>
              <w:right w:val="nil"/>
            </w:tcBorders>
            <w:shd w:val="clear" w:color="auto" w:fill="auto"/>
            <w:vAlign w:val="center"/>
          </w:tcPr>
          <w:p w14:paraId="3822F261">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809" w:type="pct"/>
            <w:tcBorders>
              <w:top w:val="nil"/>
              <w:left w:val="nil"/>
              <w:bottom w:val="nil"/>
              <w:right w:val="nil"/>
            </w:tcBorders>
            <w:shd w:val="clear" w:color="auto" w:fill="auto"/>
            <w:vAlign w:val="center"/>
          </w:tcPr>
          <w:p w14:paraId="2FD1210F">
            <w:pPr>
              <w:widowControl/>
              <w:spacing w:before="0" w:after="0" w:line="0" w:lineRule="atLeast"/>
              <w:ind w:firstLine="0" w:firstLineChars="0"/>
              <w:jc w:val="righ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单位：万元</w:t>
            </w:r>
          </w:p>
        </w:tc>
      </w:tr>
      <w:tr w14:paraId="6568C6C3">
        <w:tblPrEx>
          <w:tblCellMar>
            <w:top w:w="0" w:type="dxa"/>
            <w:left w:w="108" w:type="dxa"/>
            <w:bottom w:w="0" w:type="dxa"/>
            <w:right w:w="108" w:type="dxa"/>
          </w:tblCellMar>
        </w:tblPrEx>
        <w:trPr>
          <w:trHeight w:val="348" w:hRule="atLeast"/>
        </w:trPr>
        <w:tc>
          <w:tcPr>
            <w:tcW w:w="977" w:type="pct"/>
            <w:gridSpan w:val="3"/>
            <w:tcBorders>
              <w:top w:val="single" w:color="auto" w:sz="4" w:space="0"/>
              <w:left w:val="single" w:color="auto" w:sz="4" w:space="0"/>
              <w:bottom w:val="single" w:color="auto" w:sz="4" w:space="0"/>
              <w:right w:val="single" w:color="000000" w:sz="4" w:space="0"/>
            </w:tcBorders>
            <w:shd w:val="clear" w:color="auto" w:fill="auto"/>
            <w:vAlign w:val="center"/>
          </w:tcPr>
          <w:p w14:paraId="63EC1D46">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项目名称</w:t>
            </w:r>
          </w:p>
        </w:tc>
        <w:tc>
          <w:tcPr>
            <w:tcW w:w="4022" w:type="pct"/>
            <w:gridSpan w:val="6"/>
            <w:tcBorders>
              <w:top w:val="single" w:color="auto" w:sz="4" w:space="0"/>
              <w:left w:val="nil"/>
              <w:bottom w:val="single" w:color="auto" w:sz="4" w:space="0"/>
              <w:right w:val="single" w:color="000000" w:sz="4" w:space="0"/>
            </w:tcBorders>
            <w:shd w:val="clear" w:color="auto" w:fill="auto"/>
            <w:vAlign w:val="center"/>
          </w:tcPr>
          <w:p w14:paraId="768D842A">
            <w:pPr>
              <w:widowControl/>
              <w:spacing w:before="0" w:after="0" w:line="0" w:lineRule="atLeast"/>
              <w:ind w:firstLine="0" w:firstLineChars="0"/>
              <w:jc w:val="center"/>
              <w:rPr>
                <w:rFonts w:hint="eastAsia" w:ascii="Times New Roman" w:hAnsi="Times New Roman" w:eastAsia="宋体" w:cs="Times New Roman"/>
                <w:color w:val="auto"/>
                <w:kern w:val="0"/>
                <w:sz w:val="13"/>
                <w:szCs w:val="13"/>
                <w:highlight w:val="none"/>
                <w:lang w:eastAsia="zh-CN"/>
              </w:rPr>
            </w:pPr>
            <w:r>
              <w:rPr>
                <w:rFonts w:hint="eastAsia" w:ascii="Times New Roman" w:hAnsi="Times New Roman" w:eastAsia="宋体" w:cs="Times New Roman"/>
                <w:color w:val="auto"/>
                <w:kern w:val="0"/>
                <w:sz w:val="13"/>
                <w:szCs w:val="13"/>
                <w:highlight w:val="none"/>
                <w:lang w:eastAsia="zh-CN"/>
              </w:rPr>
              <w:t>泸州市城南片区老旧小区改造及地下管网更新改造项目</w:t>
            </w:r>
          </w:p>
        </w:tc>
      </w:tr>
      <w:tr w14:paraId="21D8F6D5">
        <w:tblPrEx>
          <w:tblCellMar>
            <w:top w:w="0" w:type="dxa"/>
            <w:left w:w="108" w:type="dxa"/>
            <w:bottom w:w="0" w:type="dxa"/>
            <w:right w:w="108" w:type="dxa"/>
          </w:tblCellMar>
        </w:tblPrEx>
        <w:trPr>
          <w:trHeight w:val="720" w:hRule="atLeast"/>
        </w:trPr>
        <w:tc>
          <w:tcPr>
            <w:tcW w:w="977" w:type="pct"/>
            <w:gridSpan w:val="3"/>
            <w:tcBorders>
              <w:top w:val="single" w:color="auto" w:sz="4" w:space="0"/>
              <w:left w:val="single" w:color="auto" w:sz="4" w:space="0"/>
              <w:bottom w:val="single" w:color="auto" w:sz="4" w:space="0"/>
              <w:right w:val="single" w:color="000000" w:sz="4" w:space="0"/>
            </w:tcBorders>
            <w:shd w:val="clear" w:color="auto" w:fill="auto"/>
            <w:vAlign w:val="center"/>
          </w:tcPr>
          <w:p w14:paraId="0A59CD7F">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财政地方政府债务信息系统编码</w:t>
            </w:r>
          </w:p>
        </w:tc>
        <w:tc>
          <w:tcPr>
            <w:tcW w:w="1770" w:type="pct"/>
            <w:gridSpan w:val="2"/>
            <w:tcBorders>
              <w:top w:val="single" w:color="auto" w:sz="4" w:space="0"/>
              <w:left w:val="nil"/>
              <w:bottom w:val="single" w:color="auto" w:sz="4" w:space="0"/>
              <w:right w:val="single" w:color="000000" w:sz="4" w:space="0"/>
            </w:tcBorders>
            <w:shd w:val="clear" w:color="auto" w:fill="auto"/>
            <w:vAlign w:val="center"/>
          </w:tcPr>
          <w:p w14:paraId="5F7F46CE">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　</w:t>
            </w:r>
          </w:p>
        </w:tc>
        <w:tc>
          <w:tcPr>
            <w:tcW w:w="887" w:type="pct"/>
            <w:gridSpan w:val="2"/>
            <w:tcBorders>
              <w:top w:val="single" w:color="auto" w:sz="4" w:space="0"/>
              <w:left w:val="nil"/>
              <w:bottom w:val="single" w:color="auto" w:sz="4" w:space="0"/>
              <w:right w:val="single" w:color="000000" w:sz="4" w:space="0"/>
            </w:tcBorders>
            <w:shd w:val="clear" w:color="auto" w:fill="auto"/>
            <w:vAlign w:val="center"/>
          </w:tcPr>
          <w:p w14:paraId="03260DB5">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发展改革委政府投资项目编码</w:t>
            </w:r>
          </w:p>
        </w:tc>
        <w:tc>
          <w:tcPr>
            <w:tcW w:w="1364" w:type="pct"/>
            <w:gridSpan w:val="2"/>
            <w:tcBorders>
              <w:top w:val="single" w:color="auto" w:sz="4" w:space="0"/>
              <w:left w:val="nil"/>
              <w:bottom w:val="single" w:color="auto" w:sz="4" w:space="0"/>
              <w:right w:val="single" w:color="000000" w:sz="4" w:space="0"/>
            </w:tcBorders>
            <w:shd w:val="clear" w:color="auto" w:fill="auto"/>
            <w:vAlign w:val="center"/>
          </w:tcPr>
          <w:p w14:paraId="2310F161">
            <w:pPr>
              <w:widowControl/>
              <w:spacing w:before="0" w:after="0" w:line="0" w:lineRule="atLeast"/>
              <w:ind w:firstLine="0" w:firstLineChars="0"/>
              <w:jc w:val="center"/>
              <w:rPr>
                <w:rFonts w:hint="default" w:ascii="Times New Roman" w:hAnsi="Times New Roman" w:eastAsia="宋体" w:cs="Times New Roman"/>
                <w:color w:val="auto"/>
                <w:kern w:val="0"/>
                <w:sz w:val="13"/>
                <w:szCs w:val="13"/>
                <w:highlight w:val="none"/>
                <w:lang w:val="en-US" w:eastAsia="zh-CN"/>
              </w:rPr>
            </w:pPr>
            <w:r>
              <w:rPr>
                <w:rFonts w:hint="eastAsia" w:ascii="Times New Roman" w:hAnsi="Times New Roman" w:eastAsia="宋体" w:cs="Times New Roman"/>
                <w:color w:val="auto"/>
                <w:kern w:val="0"/>
                <w:sz w:val="13"/>
                <w:szCs w:val="13"/>
                <w:highlight w:val="none"/>
                <w:lang w:val="en-US" w:eastAsia="zh-CN"/>
              </w:rPr>
              <w:t>2410-510500-04-01-293227</w:t>
            </w:r>
          </w:p>
        </w:tc>
      </w:tr>
      <w:tr w14:paraId="2CCB2861">
        <w:tblPrEx>
          <w:tblCellMar>
            <w:top w:w="0" w:type="dxa"/>
            <w:left w:w="108" w:type="dxa"/>
            <w:bottom w:w="0" w:type="dxa"/>
            <w:right w:w="108" w:type="dxa"/>
          </w:tblCellMar>
        </w:tblPrEx>
        <w:trPr>
          <w:trHeight w:val="348" w:hRule="atLeast"/>
        </w:trPr>
        <w:tc>
          <w:tcPr>
            <w:tcW w:w="977" w:type="pct"/>
            <w:gridSpan w:val="3"/>
            <w:tcBorders>
              <w:top w:val="single" w:color="auto" w:sz="4" w:space="0"/>
              <w:left w:val="single" w:color="auto" w:sz="4" w:space="0"/>
              <w:bottom w:val="single" w:color="auto" w:sz="4" w:space="0"/>
              <w:right w:val="single" w:color="000000" w:sz="4" w:space="0"/>
            </w:tcBorders>
            <w:shd w:val="clear" w:color="auto" w:fill="auto"/>
            <w:vAlign w:val="center"/>
          </w:tcPr>
          <w:p w14:paraId="0DF73AB0">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项目主管部门</w:t>
            </w:r>
          </w:p>
        </w:tc>
        <w:tc>
          <w:tcPr>
            <w:tcW w:w="1770" w:type="pct"/>
            <w:gridSpan w:val="2"/>
            <w:tcBorders>
              <w:top w:val="single" w:color="auto" w:sz="4" w:space="0"/>
              <w:left w:val="nil"/>
              <w:bottom w:val="single" w:color="auto" w:sz="4" w:space="0"/>
              <w:right w:val="single" w:color="000000" w:sz="4" w:space="0"/>
            </w:tcBorders>
            <w:shd w:val="clear" w:color="auto" w:fill="auto"/>
            <w:vAlign w:val="center"/>
          </w:tcPr>
          <w:p w14:paraId="05009E57">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hint="eastAsia" w:ascii="Times New Roman" w:hAnsi="Times New Roman" w:eastAsia="宋体" w:cs="Times New Roman"/>
                <w:color w:val="auto"/>
                <w:kern w:val="0"/>
                <w:sz w:val="13"/>
                <w:szCs w:val="13"/>
                <w:highlight w:val="none"/>
                <w:lang w:val="en-US" w:eastAsia="zh-CN"/>
              </w:rPr>
              <w:t>泸州市</w:t>
            </w:r>
            <w:r>
              <w:rPr>
                <w:rFonts w:hint="eastAsia" w:ascii="Times New Roman" w:hAnsi="Times New Roman" w:eastAsia="宋体" w:cs="Times New Roman"/>
                <w:color w:val="auto"/>
                <w:kern w:val="0"/>
                <w:sz w:val="13"/>
                <w:szCs w:val="13"/>
                <w:highlight w:val="none"/>
              </w:rPr>
              <w:t>住房和城乡建设局</w:t>
            </w:r>
          </w:p>
        </w:tc>
        <w:tc>
          <w:tcPr>
            <w:tcW w:w="887" w:type="pct"/>
            <w:gridSpan w:val="2"/>
            <w:tcBorders>
              <w:top w:val="single" w:color="auto" w:sz="4" w:space="0"/>
              <w:left w:val="nil"/>
              <w:bottom w:val="single" w:color="auto" w:sz="4" w:space="0"/>
              <w:right w:val="single" w:color="000000" w:sz="4" w:space="0"/>
            </w:tcBorders>
            <w:shd w:val="clear" w:color="auto" w:fill="auto"/>
            <w:vAlign w:val="center"/>
          </w:tcPr>
          <w:p w14:paraId="5B6C1207">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统一社会信用代码</w:t>
            </w:r>
          </w:p>
        </w:tc>
        <w:tc>
          <w:tcPr>
            <w:tcW w:w="1364" w:type="pct"/>
            <w:gridSpan w:val="2"/>
            <w:tcBorders>
              <w:top w:val="single" w:color="auto" w:sz="4" w:space="0"/>
              <w:left w:val="nil"/>
              <w:bottom w:val="single" w:color="auto" w:sz="4" w:space="0"/>
              <w:right w:val="single" w:color="000000" w:sz="4" w:space="0"/>
            </w:tcBorders>
            <w:shd w:val="clear" w:color="auto" w:fill="auto"/>
            <w:vAlign w:val="center"/>
          </w:tcPr>
          <w:p w14:paraId="1A01DE98">
            <w:pPr>
              <w:widowControl/>
              <w:spacing w:before="0" w:after="0" w:line="0" w:lineRule="atLeast"/>
              <w:ind w:firstLine="0" w:firstLineChars="0"/>
              <w:jc w:val="center"/>
              <w:rPr>
                <w:rFonts w:hint="default" w:ascii="Times New Roman" w:hAnsi="Times New Roman" w:eastAsia="宋体" w:cs="Times New Roman"/>
                <w:color w:val="auto"/>
                <w:kern w:val="0"/>
                <w:sz w:val="13"/>
                <w:szCs w:val="13"/>
                <w:highlight w:val="none"/>
                <w:lang w:val="en-US" w:eastAsia="zh-CN"/>
              </w:rPr>
            </w:pPr>
            <w:r>
              <w:rPr>
                <w:rFonts w:hint="eastAsia" w:ascii="Times New Roman" w:hAnsi="Times New Roman" w:eastAsia="宋体" w:cs="Times New Roman"/>
                <w:color w:val="auto"/>
                <w:kern w:val="0"/>
                <w:sz w:val="13"/>
                <w:szCs w:val="13"/>
                <w:highlight w:val="none"/>
              </w:rPr>
              <w:t>11510400314598981X</w:t>
            </w:r>
          </w:p>
        </w:tc>
      </w:tr>
      <w:tr w14:paraId="04EED3F7">
        <w:tblPrEx>
          <w:tblCellMar>
            <w:top w:w="0" w:type="dxa"/>
            <w:left w:w="108" w:type="dxa"/>
            <w:bottom w:w="0" w:type="dxa"/>
            <w:right w:w="108" w:type="dxa"/>
          </w:tblCellMar>
        </w:tblPrEx>
        <w:trPr>
          <w:trHeight w:val="348" w:hRule="atLeast"/>
        </w:trPr>
        <w:tc>
          <w:tcPr>
            <w:tcW w:w="977" w:type="pct"/>
            <w:gridSpan w:val="3"/>
            <w:tcBorders>
              <w:top w:val="single" w:color="auto" w:sz="4" w:space="0"/>
              <w:left w:val="single" w:color="auto" w:sz="4" w:space="0"/>
              <w:bottom w:val="single" w:color="auto" w:sz="4" w:space="0"/>
              <w:right w:val="single" w:color="000000" w:sz="4" w:space="0"/>
            </w:tcBorders>
            <w:shd w:val="clear" w:color="auto" w:fill="auto"/>
            <w:vAlign w:val="center"/>
          </w:tcPr>
          <w:p w14:paraId="4D09A7A2">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项目单位</w:t>
            </w:r>
          </w:p>
        </w:tc>
        <w:tc>
          <w:tcPr>
            <w:tcW w:w="1770" w:type="pct"/>
            <w:gridSpan w:val="2"/>
            <w:tcBorders>
              <w:top w:val="single" w:color="auto" w:sz="4" w:space="0"/>
              <w:left w:val="nil"/>
              <w:bottom w:val="single" w:color="auto" w:sz="4" w:space="0"/>
              <w:right w:val="single" w:color="000000" w:sz="4" w:space="0"/>
            </w:tcBorders>
            <w:shd w:val="clear" w:color="auto" w:fill="auto"/>
            <w:vAlign w:val="center"/>
          </w:tcPr>
          <w:p w14:paraId="0E359177">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hint="eastAsia" w:ascii="Times New Roman" w:hAnsi="Times New Roman" w:eastAsia="宋体" w:cs="Times New Roman"/>
                <w:color w:val="auto"/>
                <w:kern w:val="0"/>
                <w:sz w:val="13"/>
                <w:szCs w:val="13"/>
                <w:highlight w:val="none"/>
              </w:rPr>
              <w:t>泸州市政府投资建设工程管理第一中心</w:t>
            </w:r>
          </w:p>
        </w:tc>
        <w:tc>
          <w:tcPr>
            <w:tcW w:w="887" w:type="pct"/>
            <w:gridSpan w:val="2"/>
            <w:tcBorders>
              <w:top w:val="single" w:color="auto" w:sz="4" w:space="0"/>
              <w:left w:val="nil"/>
              <w:bottom w:val="single" w:color="auto" w:sz="4" w:space="0"/>
              <w:right w:val="single" w:color="000000" w:sz="4" w:space="0"/>
            </w:tcBorders>
            <w:shd w:val="clear" w:color="auto" w:fill="auto"/>
            <w:vAlign w:val="center"/>
          </w:tcPr>
          <w:p w14:paraId="2ABBFA63">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统一社会信用代码</w:t>
            </w:r>
          </w:p>
        </w:tc>
        <w:tc>
          <w:tcPr>
            <w:tcW w:w="1364" w:type="pct"/>
            <w:gridSpan w:val="2"/>
            <w:tcBorders>
              <w:top w:val="single" w:color="auto" w:sz="4" w:space="0"/>
              <w:left w:val="nil"/>
              <w:bottom w:val="single" w:color="auto" w:sz="4" w:space="0"/>
              <w:right w:val="single" w:color="000000" w:sz="4" w:space="0"/>
            </w:tcBorders>
            <w:shd w:val="clear" w:color="auto" w:fill="auto"/>
            <w:vAlign w:val="center"/>
          </w:tcPr>
          <w:p w14:paraId="415A200D">
            <w:pPr>
              <w:widowControl/>
              <w:spacing w:before="0" w:after="0" w:line="0" w:lineRule="atLeast"/>
              <w:ind w:firstLine="0" w:firstLineChars="0"/>
              <w:jc w:val="center"/>
              <w:rPr>
                <w:rFonts w:hint="default" w:ascii="Times New Roman" w:hAnsi="Times New Roman" w:eastAsia="宋体" w:cs="Times New Roman"/>
                <w:color w:val="auto"/>
                <w:kern w:val="0"/>
                <w:sz w:val="13"/>
                <w:szCs w:val="13"/>
                <w:highlight w:val="none"/>
                <w:lang w:val="en-US" w:eastAsia="zh-CN"/>
              </w:rPr>
            </w:pPr>
            <w:r>
              <w:rPr>
                <w:rFonts w:hint="eastAsia" w:ascii="Times New Roman" w:hAnsi="Times New Roman" w:eastAsia="宋体" w:cs="Times New Roman"/>
                <w:color w:val="auto"/>
                <w:kern w:val="0"/>
                <w:sz w:val="13"/>
                <w:szCs w:val="13"/>
                <w:highlight w:val="none"/>
              </w:rPr>
              <w:t>12510400749634777T</w:t>
            </w:r>
          </w:p>
        </w:tc>
      </w:tr>
      <w:tr w14:paraId="4B9F4FE9">
        <w:tblPrEx>
          <w:tblCellMar>
            <w:top w:w="0" w:type="dxa"/>
            <w:left w:w="108" w:type="dxa"/>
            <w:bottom w:w="0" w:type="dxa"/>
            <w:right w:w="108" w:type="dxa"/>
          </w:tblCellMar>
        </w:tblPrEx>
        <w:trPr>
          <w:trHeight w:val="348" w:hRule="atLeast"/>
        </w:trPr>
        <w:tc>
          <w:tcPr>
            <w:tcW w:w="977" w:type="pct"/>
            <w:gridSpan w:val="3"/>
            <w:tcBorders>
              <w:top w:val="single" w:color="auto" w:sz="4" w:space="0"/>
              <w:left w:val="single" w:color="auto" w:sz="4" w:space="0"/>
              <w:bottom w:val="single" w:color="auto" w:sz="4" w:space="0"/>
              <w:right w:val="single" w:color="000000" w:sz="4" w:space="0"/>
            </w:tcBorders>
            <w:shd w:val="clear" w:color="auto" w:fill="auto"/>
            <w:vAlign w:val="center"/>
          </w:tcPr>
          <w:p w14:paraId="364AEE41">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项目负责人</w:t>
            </w:r>
          </w:p>
        </w:tc>
        <w:tc>
          <w:tcPr>
            <w:tcW w:w="1770" w:type="pct"/>
            <w:gridSpan w:val="2"/>
            <w:tcBorders>
              <w:top w:val="single" w:color="auto" w:sz="4" w:space="0"/>
              <w:left w:val="nil"/>
              <w:bottom w:val="single" w:color="auto" w:sz="4" w:space="0"/>
              <w:right w:val="single" w:color="000000" w:sz="4" w:space="0"/>
            </w:tcBorders>
            <w:shd w:val="clear" w:color="auto" w:fill="auto"/>
            <w:vAlign w:val="center"/>
          </w:tcPr>
          <w:p w14:paraId="4EC39815">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　</w:t>
            </w:r>
            <w:r>
              <w:rPr>
                <w:rFonts w:hint="eastAsia" w:ascii="Times New Roman" w:hAnsi="Times New Roman" w:eastAsia="宋体" w:cs="Times New Roman"/>
                <w:color w:val="auto"/>
                <w:kern w:val="0"/>
                <w:sz w:val="13"/>
                <w:szCs w:val="13"/>
                <w:highlight w:val="none"/>
              </w:rPr>
              <w:t>朱彬</w:t>
            </w:r>
          </w:p>
        </w:tc>
        <w:tc>
          <w:tcPr>
            <w:tcW w:w="887" w:type="pct"/>
            <w:gridSpan w:val="2"/>
            <w:tcBorders>
              <w:top w:val="single" w:color="auto" w:sz="4" w:space="0"/>
              <w:left w:val="nil"/>
              <w:bottom w:val="single" w:color="auto" w:sz="4" w:space="0"/>
              <w:right w:val="single" w:color="000000" w:sz="4" w:space="0"/>
            </w:tcBorders>
            <w:shd w:val="clear" w:color="auto" w:fill="auto"/>
            <w:vAlign w:val="center"/>
          </w:tcPr>
          <w:p w14:paraId="55A4059C">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联系方式</w:t>
            </w:r>
          </w:p>
        </w:tc>
        <w:tc>
          <w:tcPr>
            <w:tcW w:w="1364" w:type="pct"/>
            <w:gridSpan w:val="2"/>
            <w:tcBorders>
              <w:top w:val="single" w:color="auto" w:sz="4" w:space="0"/>
              <w:left w:val="nil"/>
              <w:bottom w:val="single" w:color="auto" w:sz="4" w:space="0"/>
              <w:right w:val="single" w:color="000000" w:sz="4" w:space="0"/>
            </w:tcBorders>
            <w:shd w:val="clear" w:color="auto" w:fill="auto"/>
            <w:vAlign w:val="center"/>
          </w:tcPr>
          <w:p w14:paraId="13C12CE3">
            <w:pPr>
              <w:widowControl/>
              <w:spacing w:before="0" w:after="0" w:line="0" w:lineRule="atLeast"/>
              <w:ind w:firstLine="0" w:firstLineChars="0"/>
              <w:jc w:val="center"/>
              <w:rPr>
                <w:rFonts w:hint="default" w:ascii="Times New Roman" w:hAnsi="Times New Roman" w:eastAsia="宋体" w:cs="Times New Roman"/>
                <w:color w:val="auto"/>
                <w:kern w:val="0"/>
                <w:sz w:val="13"/>
                <w:szCs w:val="13"/>
                <w:highlight w:val="none"/>
                <w:lang w:val="en-US"/>
              </w:rPr>
            </w:pPr>
            <w:r>
              <w:rPr>
                <w:rFonts w:hint="eastAsia" w:ascii="Times New Roman" w:hAnsi="Times New Roman" w:eastAsia="宋体" w:cs="Times New Roman"/>
                <w:color w:val="auto"/>
                <w:kern w:val="0"/>
                <w:sz w:val="13"/>
                <w:szCs w:val="13"/>
                <w:highlight w:val="none"/>
                <w:lang w:val="en-US" w:eastAsia="zh-CN"/>
              </w:rPr>
              <w:t>15884174350</w:t>
            </w:r>
          </w:p>
        </w:tc>
      </w:tr>
      <w:tr w14:paraId="10BE20CD">
        <w:tblPrEx>
          <w:tblCellMar>
            <w:top w:w="0" w:type="dxa"/>
            <w:left w:w="108" w:type="dxa"/>
            <w:bottom w:w="0" w:type="dxa"/>
            <w:right w:w="108" w:type="dxa"/>
          </w:tblCellMar>
        </w:tblPrEx>
        <w:trPr>
          <w:trHeight w:val="348" w:hRule="atLeast"/>
        </w:trPr>
        <w:tc>
          <w:tcPr>
            <w:tcW w:w="977" w:type="pct"/>
            <w:gridSpan w:val="3"/>
            <w:vMerge w:val="restart"/>
            <w:tcBorders>
              <w:top w:val="single" w:color="auto" w:sz="4" w:space="0"/>
              <w:left w:val="single" w:color="auto" w:sz="4" w:space="0"/>
              <w:bottom w:val="single" w:color="000000" w:sz="4" w:space="0"/>
              <w:right w:val="single" w:color="000000" w:sz="4" w:space="0"/>
            </w:tcBorders>
            <w:shd w:val="clear" w:color="auto" w:fill="auto"/>
            <w:vAlign w:val="center"/>
          </w:tcPr>
          <w:p w14:paraId="66466AFF">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项目概况</w:t>
            </w:r>
          </w:p>
        </w:tc>
        <w:tc>
          <w:tcPr>
            <w:tcW w:w="962" w:type="pct"/>
            <w:tcBorders>
              <w:top w:val="nil"/>
              <w:left w:val="nil"/>
              <w:bottom w:val="single" w:color="auto" w:sz="4" w:space="0"/>
              <w:right w:val="single" w:color="auto" w:sz="4" w:space="0"/>
            </w:tcBorders>
            <w:shd w:val="clear" w:color="auto" w:fill="auto"/>
            <w:vAlign w:val="center"/>
          </w:tcPr>
          <w:p w14:paraId="2019314D">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项目所属领域</w:t>
            </w:r>
          </w:p>
        </w:tc>
        <w:tc>
          <w:tcPr>
            <w:tcW w:w="808" w:type="pct"/>
            <w:tcBorders>
              <w:top w:val="nil"/>
              <w:left w:val="nil"/>
              <w:bottom w:val="single" w:color="auto" w:sz="4" w:space="0"/>
              <w:right w:val="single" w:color="auto" w:sz="4" w:space="0"/>
            </w:tcBorders>
            <w:shd w:val="clear" w:color="auto" w:fill="auto"/>
            <w:vAlign w:val="center"/>
          </w:tcPr>
          <w:p w14:paraId="5817FD53">
            <w:pPr>
              <w:widowControl/>
              <w:spacing w:before="0" w:after="0" w:line="0" w:lineRule="atLeast"/>
              <w:ind w:firstLine="0" w:firstLineChars="0"/>
              <w:jc w:val="center"/>
              <w:rPr>
                <w:rFonts w:hint="default" w:ascii="Times New Roman" w:hAnsi="Times New Roman" w:eastAsia="宋体" w:cs="Times New Roman"/>
                <w:color w:val="auto"/>
                <w:kern w:val="0"/>
                <w:sz w:val="13"/>
                <w:szCs w:val="13"/>
                <w:highlight w:val="none"/>
                <w:lang w:val="en-US" w:eastAsia="zh-CN"/>
              </w:rPr>
            </w:pPr>
            <w:r>
              <w:rPr>
                <w:rFonts w:hint="eastAsia" w:ascii="Times New Roman" w:hAnsi="Times New Roman" w:eastAsia="宋体" w:cs="Times New Roman"/>
                <w:color w:val="auto"/>
                <w:kern w:val="0"/>
                <w:sz w:val="13"/>
                <w:szCs w:val="13"/>
                <w:highlight w:val="none"/>
                <w:lang w:val="en-US" w:eastAsia="zh-CN"/>
              </w:rPr>
              <w:t>保障性安居工程-城镇老旧小区改造</w:t>
            </w:r>
          </w:p>
        </w:tc>
        <w:tc>
          <w:tcPr>
            <w:tcW w:w="887" w:type="pct"/>
            <w:gridSpan w:val="2"/>
            <w:tcBorders>
              <w:top w:val="single" w:color="auto" w:sz="4" w:space="0"/>
              <w:left w:val="nil"/>
              <w:bottom w:val="single" w:color="auto" w:sz="4" w:space="0"/>
              <w:right w:val="single" w:color="000000" w:sz="4" w:space="0"/>
            </w:tcBorders>
            <w:shd w:val="clear" w:color="auto" w:fill="auto"/>
            <w:vAlign w:val="center"/>
          </w:tcPr>
          <w:p w14:paraId="7C4BA9B7">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项目立项文号</w:t>
            </w:r>
          </w:p>
        </w:tc>
        <w:tc>
          <w:tcPr>
            <w:tcW w:w="1364" w:type="pct"/>
            <w:gridSpan w:val="2"/>
            <w:tcBorders>
              <w:top w:val="single" w:color="auto" w:sz="4" w:space="0"/>
              <w:left w:val="nil"/>
              <w:bottom w:val="single" w:color="auto" w:sz="4" w:space="0"/>
              <w:right w:val="single" w:color="000000" w:sz="4" w:space="0"/>
            </w:tcBorders>
            <w:shd w:val="clear" w:color="auto" w:fill="auto"/>
            <w:vAlign w:val="center"/>
          </w:tcPr>
          <w:p w14:paraId="0E7C27CB">
            <w:pPr>
              <w:widowControl/>
              <w:spacing w:before="0" w:after="0" w:line="0" w:lineRule="atLeast"/>
              <w:ind w:firstLine="0" w:firstLineChars="0"/>
              <w:jc w:val="center"/>
              <w:rPr>
                <w:rFonts w:hint="default" w:ascii="Times New Roman" w:hAnsi="Times New Roman" w:eastAsia="宋体" w:cs="Times New Roman"/>
                <w:color w:val="auto"/>
                <w:kern w:val="0"/>
                <w:sz w:val="13"/>
                <w:szCs w:val="13"/>
                <w:highlight w:val="none"/>
                <w:lang w:val="en-US" w:eastAsia="zh-CN"/>
              </w:rPr>
            </w:pPr>
            <w:r>
              <w:rPr>
                <w:rFonts w:hint="eastAsia" w:ascii="Times New Roman" w:hAnsi="Times New Roman" w:eastAsia="宋体" w:cs="Times New Roman"/>
                <w:color w:val="auto"/>
                <w:kern w:val="0"/>
                <w:sz w:val="13"/>
                <w:szCs w:val="13"/>
                <w:highlight w:val="none"/>
                <w:lang w:val="en-US" w:eastAsia="zh-CN"/>
              </w:rPr>
              <w:t>泸市发改行审〔2024〕65号</w:t>
            </w:r>
          </w:p>
        </w:tc>
      </w:tr>
      <w:tr w14:paraId="49295952">
        <w:tblPrEx>
          <w:tblCellMar>
            <w:top w:w="0" w:type="dxa"/>
            <w:left w:w="108" w:type="dxa"/>
            <w:bottom w:w="0" w:type="dxa"/>
            <w:right w:w="108" w:type="dxa"/>
          </w:tblCellMar>
        </w:tblPrEx>
        <w:trPr>
          <w:trHeight w:val="744" w:hRule="atLeast"/>
        </w:trPr>
        <w:tc>
          <w:tcPr>
            <w:tcW w:w="977" w:type="pct"/>
            <w:gridSpan w:val="3"/>
            <w:vMerge w:val="continue"/>
            <w:tcBorders>
              <w:top w:val="single" w:color="auto" w:sz="4" w:space="0"/>
              <w:left w:val="single" w:color="auto" w:sz="4" w:space="0"/>
              <w:bottom w:val="single" w:color="000000" w:sz="4" w:space="0"/>
              <w:right w:val="single" w:color="000000" w:sz="4" w:space="0"/>
            </w:tcBorders>
            <w:vAlign w:val="center"/>
          </w:tcPr>
          <w:p w14:paraId="61D37F11">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962" w:type="pct"/>
            <w:tcBorders>
              <w:top w:val="single" w:color="auto" w:sz="4" w:space="0"/>
              <w:left w:val="nil"/>
              <w:bottom w:val="single" w:color="auto" w:sz="4" w:space="0"/>
              <w:right w:val="single" w:color="auto" w:sz="4" w:space="0"/>
            </w:tcBorders>
            <w:shd w:val="clear" w:color="auto" w:fill="auto"/>
            <w:vAlign w:val="center"/>
          </w:tcPr>
          <w:p w14:paraId="35402055">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项目级别</w:t>
            </w:r>
          </w:p>
        </w:tc>
        <w:tc>
          <w:tcPr>
            <w:tcW w:w="808" w:type="pct"/>
            <w:tcBorders>
              <w:top w:val="single" w:color="auto" w:sz="4" w:space="0"/>
              <w:left w:val="nil"/>
              <w:bottom w:val="single" w:color="auto" w:sz="4" w:space="0"/>
              <w:right w:val="single" w:color="auto" w:sz="4" w:space="0"/>
            </w:tcBorders>
            <w:shd w:val="clear" w:color="auto" w:fill="auto"/>
            <w:vAlign w:val="center"/>
          </w:tcPr>
          <w:p w14:paraId="0DDFB090">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hint="eastAsia" w:ascii="Times New Roman" w:hAnsi="Times New Roman" w:eastAsia="宋体" w:cs="Times New Roman"/>
                <w:color w:val="auto"/>
                <w:kern w:val="0"/>
                <w:sz w:val="13"/>
                <w:szCs w:val="13"/>
                <w:highlight w:val="none"/>
                <w:lang w:val="en-US" w:eastAsia="zh-CN"/>
              </w:rPr>
              <w:t>□</w:t>
            </w:r>
            <w:r>
              <w:rPr>
                <w:rFonts w:ascii="Times New Roman" w:hAnsi="Times New Roman" w:eastAsia="宋体" w:cs="Times New Roman"/>
                <w:color w:val="auto"/>
                <w:kern w:val="0"/>
                <w:sz w:val="13"/>
                <w:szCs w:val="13"/>
                <w:highlight w:val="none"/>
              </w:rPr>
              <w:t>国家级和省级重点项目</w:t>
            </w:r>
          </w:p>
        </w:tc>
        <w:tc>
          <w:tcPr>
            <w:tcW w:w="887" w:type="pct"/>
            <w:gridSpan w:val="2"/>
            <w:tcBorders>
              <w:top w:val="single" w:color="auto" w:sz="4" w:space="0"/>
              <w:left w:val="nil"/>
              <w:bottom w:val="single" w:color="auto" w:sz="4" w:space="0"/>
              <w:right w:val="single" w:color="000000" w:sz="4" w:space="0"/>
            </w:tcBorders>
            <w:shd w:val="clear" w:color="auto" w:fill="auto"/>
            <w:noWrap/>
            <w:vAlign w:val="center"/>
          </w:tcPr>
          <w:p w14:paraId="62E9CC09">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hint="eastAsia" w:ascii="Times New Roman" w:hAnsi="Times New Roman" w:eastAsia="宋体" w:cs="Times New Roman"/>
                <w:color w:val="auto"/>
                <w:kern w:val="0"/>
                <w:sz w:val="13"/>
                <w:szCs w:val="13"/>
                <w:highlight w:val="none"/>
                <w:lang w:val="en-US" w:eastAsia="zh-CN"/>
              </w:rPr>
              <w:t>☑</w:t>
            </w:r>
            <w:r>
              <w:rPr>
                <w:rFonts w:ascii="Times New Roman" w:hAnsi="Times New Roman" w:eastAsia="宋体" w:cs="Times New Roman"/>
                <w:color w:val="auto"/>
                <w:kern w:val="0"/>
                <w:sz w:val="13"/>
                <w:szCs w:val="13"/>
                <w:highlight w:val="none"/>
              </w:rPr>
              <w:t>市级重点项目</w:t>
            </w:r>
          </w:p>
        </w:tc>
        <w:tc>
          <w:tcPr>
            <w:tcW w:w="1364" w:type="pct"/>
            <w:gridSpan w:val="2"/>
            <w:tcBorders>
              <w:top w:val="single" w:color="auto" w:sz="4" w:space="0"/>
              <w:left w:val="nil"/>
              <w:bottom w:val="single" w:color="auto" w:sz="4" w:space="0"/>
              <w:right w:val="single" w:color="000000" w:sz="4" w:space="0"/>
            </w:tcBorders>
            <w:shd w:val="clear" w:color="auto" w:fill="auto"/>
            <w:vAlign w:val="center"/>
          </w:tcPr>
          <w:p w14:paraId="43821E60">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hint="eastAsia" w:ascii="Times New Roman" w:hAnsi="Times New Roman" w:eastAsia="宋体" w:cs="Times New Roman"/>
                <w:color w:val="auto"/>
                <w:kern w:val="0"/>
                <w:sz w:val="13"/>
                <w:szCs w:val="13"/>
                <w:highlight w:val="none"/>
                <w:lang w:val="en-US" w:eastAsia="zh-CN"/>
              </w:rPr>
              <w:t>□</w:t>
            </w:r>
            <w:r>
              <w:rPr>
                <w:rFonts w:ascii="Times New Roman" w:hAnsi="Times New Roman" w:eastAsia="宋体" w:cs="Times New Roman"/>
                <w:color w:val="auto"/>
                <w:kern w:val="0"/>
                <w:sz w:val="13"/>
                <w:szCs w:val="13"/>
                <w:highlight w:val="none"/>
              </w:rPr>
              <w:t>县（区）级重点项目</w:t>
            </w:r>
          </w:p>
        </w:tc>
      </w:tr>
      <w:tr w14:paraId="69DD2FB1">
        <w:tblPrEx>
          <w:tblCellMar>
            <w:top w:w="0" w:type="dxa"/>
            <w:left w:w="108" w:type="dxa"/>
            <w:bottom w:w="0" w:type="dxa"/>
            <w:right w:w="108" w:type="dxa"/>
          </w:tblCellMar>
        </w:tblPrEx>
        <w:trPr>
          <w:trHeight w:val="696" w:hRule="atLeast"/>
        </w:trPr>
        <w:tc>
          <w:tcPr>
            <w:tcW w:w="977" w:type="pct"/>
            <w:gridSpan w:val="3"/>
            <w:vMerge w:val="continue"/>
            <w:tcBorders>
              <w:top w:val="single" w:color="auto" w:sz="4" w:space="0"/>
              <w:left w:val="single" w:color="auto" w:sz="4" w:space="0"/>
              <w:bottom w:val="single" w:color="000000" w:sz="4" w:space="0"/>
              <w:right w:val="single" w:color="000000" w:sz="4" w:space="0"/>
            </w:tcBorders>
            <w:vAlign w:val="center"/>
          </w:tcPr>
          <w:p w14:paraId="60150F7D">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962" w:type="pct"/>
            <w:tcBorders>
              <w:top w:val="nil"/>
              <w:left w:val="nil"/>
              <w:bottom w:val="single" w:color="auto" w:sz="4" w:space="0"/>
              <w:right w:val="single" w:color="auto" w:sz="4" w:space="0"/>
            </w:tcBorders>
            <w:shd w:val="clear" w:color="auto" w:fill="auto"/>
            <w:vAlign w:val="center"/>
          </w:tcPr>
          <w:p w14:paraId="750788F3">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项目起止时间（建设期+运营期）</w:t>
            </w:r>
          </w:p>
        </w:tc>
        <w:tc>
          <w:tcPr>
            <w:tcW w:w="3059" w:type="pct"/>
            <w:gridSpan w:val="5"/>
            <w:tcBorders>
              <w:top w:val="single" w:color="auto" w:sz="4" w:space="0"/>
              <w:left w:val="nil"/>
              <w:bottom w:val="single" w:color="auto" w:sz="4" w:space="0"/>
              <w:right w:val="single" w:color="000000" w:sz="4" w:space="0"/>
            </w:tcBorders>
            <w:shd w:val="clear" w:color="auto" w:fill="auto"/>
            <w:vAlign w:val="center"/>
          </w:tcPr>
          <w:p w14:paraId="3290E008">
            <w:pPr>
              <w:widowControl/>
              <w:spacing w:before="0" w:after="0" w:line="0" w:lineRule="atLeast"/>
              <w:ind w:firstLine="0" w:firstLineChars="0"/>
              <w:jc w:val="center"/>
              <w:rPr>
                <w:rFonts w:hint="default" w:ascii="Times New Roman" w:hAnsi="Times New Roman" w:eastAsia="宋体" w:cs="Times New Roman"/>
                <w:color w:val="auto"/>
                <w:kern w:val="0"/>
                <w:sz w:val="13"/>
                <w:szCs w:val="13"/>
                <w:highlight w:val="none"/>
                <w:lang w:val="en-US" w:eastAsia="zh-CN"/>
              </w:rPr>
            </w:pPr>
            <w:r>
              <w:rPr>
                <w:rFonts w:ascii="Times New Roman" w:hAnsi="Times New Roman" w:eastAsia="宋体" w:cs="Times New Roman"/>
                <w:color w:val="auto"/>
                <w:kern w:val="0"/>
                <w:sz w:val="13"/>
                <w:szCs w:val="13"/>
                <w:highlight w:val="none"/>
              </w:rPr>
              <w:t>建设期：202</w:t>
            </w:r>
            <w:r>
              <w:rPr>
                <w:rFonts w:hint="eastAsia" w:ascii="Times New Roman" w:hAnsi="Times New Roman" w:eastAsia="宋体" w:cs="Times New Roman"/>
                <w:color w:val="auto"/>
                <w:kern w:val="0"/>
                <w:sz w:val="13"/>
                <w:szCs w:val="13"/>
                <w:highlight w:val="none"/>
                <w:lang w:val="en-US" w:eastAsia="zh-CN"/>
              </w:rPr>
              <w:t>5</w:t>
            </w:r>
            <w:r>
              <w:rPr>
                <w:rFonts w:ascii="Times New Roman" w:hAnsi="Times New Roman" w:eastAsia="宋体" w:cs="Times New Roman"/>
                <w:color w:val="auto"/>
                <w:kern w:val="0"/>
                <w:sz w:val="13"/>
                <w:szCs w:val="13"/>
                <w:highlight w:val="none"/>
              </w:rPr>
              <w:t>年</w:t>
            </w:r>
            <w:r>
              <w:rPr>
                <w:rFonts w:hint="eastAsia" w:ascii="Times New Roman" w:hAnsi="Times New Roman" w:eastAsia="宋体" w:cs="Times New Roman"/>
                <w:color w:val="auto"/>
                <w:kern w:val="0"/>
                <w:sz w:val="13"/>
                <w:szCs w:val="13"/>
                <w:highlight w:val="none"/>
                <w:lang w:val="en-US" w:eastAsia="zh-CN"/>
              </w:rPr>
              <w:t>4</w:t>
            </w:r>
            <w:r>
              <w:rPr>
                <w:rFonts w:ascii="Times New Roman" w:hAnsi="Times New Roman" w:eastAsia="宋体" w:cs="Times New Roman"/>
                <w:color w:val="auto"/>
                <w:kern w:val="0"/>
                <w:sz w:val="13"/>
                <w:szCs w:val="13"/>
                <w:highlight w:val="none"/>
              </w:rPr>
              <w:t>月</w:t>
            </w:r>
            <w:r>
              <w:rPr>
                <w:rFonts w:hint="eastAsia" w:ascii="Times New Roman" w:hAnsi="Times New Roman" w:eastAsia="宋体" w:cs="Times New Roman"/>
                <w:color w:val="auto"/>
                <w:kern w:val="0"/>
                <w:sz w:val="13"/>
                <w:szCs w:val="13"/>
                <w:highlight w:val="none"/>
                <w:lang w:val="en-US" w:eastAsia="zh-CN"/>
              </w:rPr>
              <w:t>1日</w:t>
            </w:r>
            <w:r>
              <w:rPr>
                <w:rFonts w:ascii="Times New Roman" w:hAnsi="Times New Roman" w:eastAsia="宋体" w:cs="Times New Roman"/>
                <w:color w:val="auto"/>
                <w:kern w:val="0"/>
                <w:sz w:val="13"/>
                <w:szCs w:val="13"/>
                <w:highlight w:val="none"/>
              </w:rPr>
              <w:t>至20</w:t>
            </w:r>
            <w:r>
              <w:rPr>
                <w:rFonts w:hint="eastAsia" w:ascii="Times New Roman" w:hAnsi="Times New Roman" w:eastAsia="宋体" w:cs="Times New Roman"/>
                <w:color w:val="auto"/>
                <w:kern w:val="0"/>
                <w:sz w:val="13"/>
                <w:szCs w:val="13"/>
                <w:highlight w:val="none"/>
                <w:lang w:val="en-US" w:eastAsia="zh-CN"/>
              </w:rPr>
              <w:t>28</w:t>
            </w:r>
            <w:r>
              <w:rPr>
                <w:rFonts w:ascii="Times New Roman" w:hAnsi="Times New Roman" w:eastAsia="宋体" w:cs="Times New Roman"/>
                <w:color w:val="auto"/>
                <w:kern w:val="0"/>
                <w:sz w:val="13"/>
                <w:szCs w:val="13"/>
                <w:highlight w:val="none"/>
              </w:rPr>
              <w:t>年</w:t>
            </w:r>
            <w:r>
              <w:rPr>
                <w:rFonts w:hint="eastAsia" w:ascii="Times New Roman" w:hAnsi="Times New Roman" w:eastAsia="宋体" w:cs="Times New Roman"/>
                <w:color w:val="auto"/>
                <w:kern w:val="0"/>
                <w:sz w:val="13"/>
                <w:szCs w:val="13"/>
                <w:highlight w:val="none"/>
                <w:lang w:val="en-US" w:eastAsia="zh-CN"/>
              </w:rPr>
              <w:t>3</w:t>
            </w:r>
            <w:r>
              <w:rPr>
                <w:rFonts w:ascii="Times New Roman" w:hAnsi="Times New Roman" w:eastAsia="宋体" w:cs="Times New Roman"/>
                <w:color w:val="auto"/>
                <w:kern w:val="0"/>
                <w:sz w:val="13"/>
                <w:szCs w:val="13"/>
                <w:highlight w:val="none"/>
              </w:rPr>
              <w:t>月</w:t>
            </w:r>
            <w:r>
              <w:rPr>
                <w:rFonts w:hint="eastAsia" w:ascii="Times New Roman" w:hAnsi="Times New Roman" w:eastAsia="宋体" w:cs="Times New Roman"/>
                <w:color w:val="auto"/>
                <w:kern w:val="0"/>
                <w:sz w:val="13"/>
                <w:szCs w:val="13"/>
                <w:highlight w:val="none"/>
                <w:lang w:val="en-US" w:eastAsia="zh-CN"/>
              </w:rPr>
              <w:t>31日</w:t>
            </w:r>
            <w:r>
              <w:rPr>
                <w:rFonts w:ascii="Times New Roman" w:hAnsi="Times New Roman" w:eastAsia="宋体" w:cs="Times New Roman"/>
                <w:color w:val="auto"/>
                <w:kern w:val="0"/>
                <w:sz w:val="13"/>
                <w:szCs w:val="13"/>
                <w:highlight w:val="none"/>
              </w:rPr>
              <w:t>；运营期：202</w:t>
            </w:r>
            <w:r>
              <w:rPr>
                <w:rFonts w:hint="eastAsia" w:ascii="Times New Roman" w:hAnsi="Times New Roman" w:eastAsia="宋体" w:cs="Times New Roman"/>
                <w:color w:val="auto"/>
                <w:kern w:val="0"/>
                <w:sz w:val="13"/>
                <w:szCs w:val="13"/>
                <w:highlight w:val="none"/>
                <w:lang w:val="en-US" w:eastAsia="zh-CN"/>
              </w:rPr>
              <w:t>8</w:t>
            </w:r>
            <w:r>
              <w:rPr>
                <w:rFonts w:ascii="Times New Roman" w:hAnsi="Times New Roman" w:eastAsia="宋体" w:cs="Times New Roman"/>
                <w:color w:val="auto"/>
                <w:kern w:val="0"/>
                <w:sz w:val="13"/>
                <w:szCs w:val="13"/>
                <w:highlight w:val="none"/>
              </w:rPr>
              <w:t>年</w:t>
            </w:r>
            <w:r>
              <w:rPr>
                <w:rFonts w:hint="eastAsia" w:ascii="Times New Roman" w:hAnsi="Times New Roman" w:eastAsia="宋体" w:cs="Times New Roman"/>
                <w:color w:val="auto"/>
                <w:kern w:val="0"/>
                <w:sz w:val="13"/>
                <w:szCs w:val="13"/>
                <w:highlight w:val="none"/>
                <w:lang w:val="en-US" w:eastAsia="zh-CN"/>
              </w:rPr>
              <w:t>4</w:t>
            </w:r>
            <w:r>
              <w:rPr>
                <w:rFonts w:ascii="Times New Roman" w:hAnsi="Times New Roman" w:eastAsia="宋体" w:cs="Times New Roman"/>
                <w:color w:val="auto"/>
                <w:kern w:val="0"/>
                <w:sz w:val="13"/>
                <w:szCs w:val="13"/>
                <w:highlight w:val="none"/>
              </w:rPr>
              <w:t>月—20</w:t>
            </w:r>
            <w:r>
              <w:rPr>
                <w:rFonts w:hint="eastAsia" w:ascii="Times New Roman" w:hAnsi="Times New Roman" w:eastAsia="宋体" w:cs="Times New Roman"/>
                <w:color w:val="auto"/>
                <w:kern w:val="0"/>
                <w:sz w:val="13"/>
                <w:szCs w:val="13"/>
                <w:highlight w:val="none"/>
                <w:lang w:val="en-US" w:eastAsia="zh-CN"/>
              </w:rPr>
              <w:t>47</w:t>
            </w:r>
            <w:r>
              <w:rPr>
                <w:rFonts w:ascii="Times New Roman" w:hAnsi="Times New Roman" w:eastAsia="宋体" w:cs="Times New Roman"/>
                <w:color w:val="auto"/>
                <w:kern w:val="0"/>
                <w:sz w:val="13"/>
                <w:szCs w:val="13"/>
                <w:highlight w:val="none"/>
              </w:rPr>
              <w:t>年</w:t>
            </w:r>
            <w:r>
              <w:rPr>
                <w:rFonts w:hint="eastAsia" w:ascii="Times New Roman" w:hAnsi="Times New Roman" w:eastAsia="宋体" w:cs="Times New Roman"/>
                <w:color w:val="auto"/>
                <w:kern w:val="0"/>
                <w:sz w:val="13"/>
                <w:szCs w:val="13"/>
                <w:highlight w:val="none"/>
                <w:lang w:val="en-US" w:eastAsia="zh-CN"/>
              </w:rPr>
              <w:t>3月</w:t>
            </w:r>
          </w:p>
        </w:tc>
      </w:tr>
      <w:tr w14:paraId="2F5DFDDF">
        <w:tblPrEx>
          <w:tblCellMar>
            <w:top w:w="0" w:type="dxa"/>
            <w:left w:w="108" w:type="dxa"/>
            <w:bottom w:w="0" w:type="dxa"/>
            <w:right w:w="108" w:type="dxa"/>
          </w:tblCellMar>
        </w:tblPrEx>
        <w:trPr>
          <w:trHeight w:val="415" w:hRule="atLeast"/>
        </w:trPr>
        <w:tc>
          <w:tcPr>
            <w:tcW w:w="977" w:type="pct"/>
            <w:gridSpan w:val="3"/>
            <w:vMerge w:val="continue"/>
            <w:tcBorders>
              <w:top w:val="single" w:color="auto" w:sz="4" w:space="0"/>
              <w:left w:val="single" w:color="auto" w:sz="4" w:space="0"/>
              <w:bottom w:val="single" w:color="000000" w:sz="4" w:space="0"/>
              <w:right w:val="single" w:color="000000" w:sz="4" w:space="0"/>
            </w:tcBorders>
            <w:vAlign w:val="center"/>
          </w:tcPr>
          <w:p w14:paraId="7FF41BE1">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962" w:type="pct"/>
            <w:vMerge w:val="restart"/>
            <w:tcBorders>
              <w:top w:val="nil"/>
              <w:left w:val="single" w:color="auto" w:sz="4" w:space="0"/>
              <w:bottom w:val="single" w:color="000000" w:sz="4" w:space="0"/>
              <w:right w:val="single" w:color="auto" w:sz="4" w:space="0"/>
            </w:tcBorders>
            <w:shd w:val="clear" w:color="auto" w:fill="auto"/>
            <w:vAlign w:val="center"/>
          </w:tcPr>
          <w:p w14:paraId="69BC4599">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项目主要建设内容</w:t>
            </w:r>
          </w:p>
        </w:tc>
        <w:tc>
          <w:tcPr>
            <w:tcW w:w="3059" w:type="pct"/>
            <w:gridSpan w:val="5"/>
            <w:vMerge w:val="restart"/>
            <w:tcBorders>
              <w:top w:val="single" w:color="auto" w:sz="4" w:space="0"/>
              <w:left w:val="single" w:color="auto" w:sz="4" w:space="0"/>
              <w:bottom w:val="single" w:color="000000" w:sz="4" w:space="0"/>
              <w:right w:val="single" w:color="000000" w:sz="4" w:space="0"/>
            </w:tcBorders>
            <w:shd w:val="clear" w:color="auto" w:fill="auto"/>
            <w:vAlign w:val="center"/>
          </w:tcPr>
          <w:p w14:paraId="7FF2C488">
            <w:pPr>
              <w:widowControl/>
              <w:spacing w:before="0" w:after="0" w:line="0" w:lineRule="atLeast"/>
              <w:ind w:firstLine="0" w:firstLineChars="0"/>
              <w:jc w:val="center"/>
              <w:rPr>
                <w:rFonts w:hint="eastAsia" w:ascii="Times New Roman" w:hAnsi="Times New Roman" w:eastAsia="宋体" w:cs="Times New Roman"/>
                <w:color w:val="auto"/>
                <w:kern w:val="0"/>
                <w:sz w:val="13"/>
                <w:szCs w:val="13"/>
                <w:highlight w:val="none"/>
                <w:lang w:val="en-US" w:eastAsia="zh-CN"/>
              </w:rPr>
            </w:pPr>
            <w:r>
              <w:rPr>
                <w:rFonts w:hint="eastAsia" w:ascii="Times New Roman" w:hAnsi="Times New Roman" w:eastAsia="宋体" w:cs="Times New Roman"/>
                <w:color w:val="auto"/>
                <w:kern w:val="0"/>
                <w:sz w:val="13"/>
                <w:szCs w:val="13"/>
                <w:highlight w:val="none"/>
                <w:lang w:val="en-US" w:eastAsia="zh-CN"/>
              </w:rPr>
              <w:t>1、对泸州市蓝田街道区域内老旧小区及周边公共配套设施进行改造更新,包含改造区域内道路 5km 以及游园改造、养老服务中心、托育中心、居民停车场、新能源停车位、小区公共部位改造等配套基础设施改造更新。</w:t>
            </w:r>
          </w:p>
          <w:p w14:paraId="5F6004A1">
            <w:pPr>
              <w:widowControl/>
              <w:spacing w:before="0" w:after="0" w:line="0" w:lineRule="atLeast"/>
              <w:ind w:firstLine="0" w:firstLineChars="0"/>
              <w:jc w:val="center"/>
              <w:rPr>
                <w:rFonts w:hint="default" w:ascii="Times New Roman" w:hAnsi="Times New Roman" w:eastAsia="宋体" w:cs="Times New Roman"/>
                <w:color w:val="auto"/>
                <w:kern w:val="0"/>
                <w:sz w:val="13"/>
                <w:szCs w:val="13"/>
                <w:highlight w:val="none"/>
                <w:lang w:val="en-US" w:eastAsia="zh-CN"/>
              </w:rPr>
            </w:pPr>
            <w:r>
              <w:rPr>
                <w:rFonts w:hint="eastAsia" w:ascii="Times New Roman" w:hAnsi="Times New Roman" w:eastAsia="宋体" w:cs="Times New Roman"/>
                <w:color w:val="auto"/>
                <w:kern w:val="0"/>
                <w:sz w:val="13"/>
                <w:szCs w:val="13"/>
                <w:highlight w:val="none"/>
                <w:lang w:val="en-US" w:eastAsia="zh-CN"/>
              </w:rPr>
              <w:t>2、对泸州市城南片区区域内排水管网进行探测修复城市，解决区域内雨污水混流、易涝积水点、管网破损等问题，包含约 8 平方千米区域内道路、小区管网改造及雨污分流建设等配套基础设施更新改造等。；</w:t>
            </w:r>
          </w:p>
        </w:tc>
      </w:tr>
      <w:tr w14:paraId="1AAF529C">
        <w:tblPrEx>
          <w:tblCellMar>
            <w:top w:w="0" w:type="dxa"/>
            <w:left w:w="108" w:type="dxa"/>
            <w:bottom w:w="0" w:type="dxa"/>
            <w:right w:w="108" w:type="dxa"/>
          </w:tblCellMar>
        </w:tblPrEx>
        <w:trPr>
          <w:trHeight w:val="601" w:hRule="atLeast"/>
        </w:trPr>
        <w:tc>
          <w:tcPr>
            <w:tcW w:w="977" w:type="pct"/>
            <w:gridSpan w:val="3"/>
            <w:vMerge w:val="continue"/>
            <w:tcBorders>
              <w:top w:val="single" w:color="auto" w:sz="4" w:space="0"/>
              <w:left w:val="single" w:color="auto" w:sz="4" w:space="0"/>
              <w:bottom w:val="single" w:color="000000" w:sz="4" w:space="0"/>
              <w:right w:val="single" w:color="000000" w:sz="4" w:space="0"/>
            </w:tcBorders>
            <w:vAlign w:val="center"/>
          </w:tcPr>
          <w:p w14:paraId="10C0732B">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962" w:type="pct"/>
            <w:vMerge w:val="continue"/>
            <w:tcBorders>
              <w:top w:val="nil"/>
              <w:left w:val="single" w:color="auto" w:sz="4" w:space="0"/>
              <w:bottom w:val="single" w:color="000000" w:sz="4" w:space="0"/>
              <w:right w:val="single" w:color="auto" w:sz="4" w:space="0"/>
            </w:tcBorders>
            <w:vAlign w:val="center"/>
          </w:tcPr>
          <w:p w14:paraId="2CB87859">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3059" w:type="pct"/>
            <w:gridSpan w:val="5"/>
            <w:vMerge w:val="continue"/>
            <w:tcBorders>
              <w:top w:val="single" w:color="auto" w:sz="4" w:space="0"/>
              <w:left w:val="single" w:color="auto" w:sz="4" w:space="0"/>
              <w:bottom w:val="single" w:color="000000" w:sz="4" w:space="0"/>
              <w:right w:val="single" w:color="000000" w:sz="4" w:space="0"/>
            </w:tcBorders>
            <w:vAlign w:val="center"/>
          </w:tcPr>
          <w:p w14:paraId="6A654A9D">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r>
      <w:tr w14:paraId="36059FEB">
        <w:tblPrEx>
          <w:tblCellMar>
            <w:top w:w="0" w:type="dxa"/>
            <w:left w:w="108" w:type="dxa"/>
            <w:bottom w:w="0" w:type="dxa"/>
            <w:right w:w="108" w:type="dxa"/>
          </w:tblCellMar>
        </w:tblPrEx>
        <w:trPr>
          <w:trHeight w:val="348" w:hRule="atLeast"/>
        </w:trPr>
        <w:tc>
          <w:tcPr>
            <w:tcW w:w="977" w:type="pct"/>
            <w:gridSpan w:val="3"/>
            <w:vMerge w:val="restart"/>
            <w:tcBorders>
              <w:top w:val="single" w:color="auto" w:sz="4" w:space="0"/>
              <w:left w:val="single" w:color="auto" w:sz="4" w:space="0"/>
              <w:bottom w:val="single" w:color="000000" w:sz="4" w:space="0"/>
              <w:right w:val="single" w:color="000000" w:sz="4" w:space="0"/>
            </w:tcBorders>
            <w:shd w:val="clear" w:color="auto" w:fill="auto"/>
            <w:vAlign w:val="center"/>
          </w:tcPr>
          <w:p w14:paraId="2C1CF222">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项目资金</w:t>
            </w:r>
          </w:p>
          <w:p w14:paraId="60A0BDBD">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（万元）</w:t>
            </w:r>
          </w:p>
        </w:tc>
        <w:tc>
          <w:tcPr>
            <w:tcW w:w="962" w:type="pct"/>
            <w:tcBorders>
              <w:top w:val="nil"/>
              <w:left w:val="nil"/>
              <w:bottom w:val="single" w:color="auto" w:sz="4" w:space="0"/>
              <w:right w:val="single" w:color="auto" w:sz="4" w:space="0"/>
            </w:tcBorders>
            <w:shd w:val="clear" w:color="auto" w:fill="auto"/>
            <w:vAlign w:val="center"/>
          </w:tcPr>
          <w:p w14:paraId="33E1EE14">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 xml:space="preserve"> 建设期投入资金总额：</w:t>
            </w:r>
          </w:p>
        </w:tc>
        <w:tc>
          <w:tcPr>
            <w:tcW w:w="808" w:type="pct"/>
            <w:tcBorders>
              <w:top w:val="nil"/>
              <w:left w:val="nil"/>
              <w:bottom w:val="single" w:color="auto" w:sz="4" w:space="0"/>
              <w:right w:val="single" w:color="auto" w:sz="4" w:space="0"/>
            </w:tcBorders>
            <w:shd w:val="clear" w:color="auto" w:fill="auto"/>
            <w:vAlign w:val="center"/>
          </w:tcPr>
          <w:p w14:paraId="1C8C0175">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hint="eastAsia" w:ascii="Times New Roman" w:hAnsi="Times New Roman" w:eastAsia="宋体" w:cs="Times New Roman"/>
                <w:color w:val="auto"/>
                <w:kern w:val="0"/>
                <w:sz w:val="13"/>
                <w:szCs w:val="13"/>
                <w:highlight w:val="none"/>
                <w:lang w:val="en-US" w:eastAsia="zh-CN"/>
              </w:rPr>
              <w:t>51,121.88</w:t>
            </w:r>
            <w:r>
              <w:rPr>
                <w:rFonts w:ascii="Times New Roman" w:hAnsi="Times New Roman" w:eastAsia="宋体" w:cs="Times New Roman"/>
                <w:color w:val="auto"/>
                <w:kern w:val="0"/>
                <w:sz w:val="13"/>
                <w:szCs w:val="13"/>
                <w:highlight w:val="none"/>
              </w:rPr>
              <w:t>万元</w:t>
            </w:r>
          </w:p>
        </w:tc>
        <w:tc>
          <w:tcPr>
            <w:tcW w:w="887" w:type="pct"/>
            <w:gridSpan w:val="2"/>
            <w:tcBorders>
              <w:top w:val="single" w:color="auto" w:sz="4" w:space="0"/>
              <w:left w:val="nil"/>
              <w:bottom w:val="single" w:color="auto" w:sz="4" w:space="0"/>
              <w:right w:val="single" w:color="000000" w:sz="4" w:space="0"/>
            </w:tcBorders>
            <w:shd w:val="clear" w:color="auto" w:fill="auto"/>
            <w:vAlign w:val="center"/>
          </w:tcPr>
          <w:p w14:paraId="2E5675FB">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 xml:space="preserve"> 202</w:t>
            </w:r>
            <w:r>
              <w:rPr>
                <w:rFonts w:hint="eastAsia" w:ascii="Times New Roman" w:hAnsi="Times New Roman" w:eastAsia="宋体" w:cs="Times New Roman"/>
                <w:color w:val="auto"/>
                <w:kern w:val="0"/>
                <w:sz w:val="13"/>
                <w:szCs w:val="13"/>
                <w:highlight w:val="none"/>
                <w:lang w:val="en-US" w:eastAsia="zh-CN"/>
              </w:rPr>
              <w:t>4</w:t>
            </w:r>
            <w:r>
              <w:rPr>
                <w:rFonts w:ascii="Times New Roman" w:hAnsi="Times New Roman" w:eastAsia="宋体" w:cs="Times New Roman"/>
                <w:color w:val="auto"/>
                <w:kern w:val="0"/>
                <w:sz w:val="13"/>
                <w:szCs w:val="13"/>
                <w:highlight w:val="none"/>
              </w:rPr>
              <w:t>年投入资金总额：</w:t>
            </w:r>
          </w:p>
        </w:tc>
        <w:tc>
          <w:tcPr>
            <w:tcW w:w="1364" w:type="pct"/>
            <w:gridSpan w:val="2"/>
            <w:tcBorders>
              <w:top w:val="single" w:color="auto" w:sz="4" w:space="0"/>
              <w:left w:val="nil"/>
              <w:bottom w:val="single" w:color="auto" w:sz="4" w:space="0"/>
              <w:right w:val="single" w:color="000000" w:sz="4" w:space="0"/>
            </w:tcBorders>
            <w:shd w:val="clear" w:color="auto" w:fill="auto"/>
            <w:vAlign w:val="center"/>
          </w:tcPr>
          <w:p w14:paraId="752B9686">
            <w:pPr>
              <w:widowControl/>
              <w:spacing w:before="0" w:after="0" w:line="0" w:lineRule="atLeast"/>
              <w:ind w:firstLine="0" w:firstLineChars="0"/>
              <w:jc w:val="right"/>
              <w:rPr>
                <w:rFonts w:ascii="Times New Roman" w:hAnsi="Times New Roman" w:eastAsia="宋体" w:cs="Times New Roman"/>
                <w:color w:val="auto"/>
                <w:kern w:val="0"/>
                <w:sz w:val="13"/>
                <w:szCs w:val="13"/>
                <w:highlight w:val="none"/>
              </w:rPr>
            </w:pPr>
            <w:r>
              <w:rPr>
                <w:rFonts w:hint="eastAsia" w:ascii="Times New Roman" w:hAnsi="Times New Roman" w:eastAsia="宋体" w:cs="Times New Roman"/>
                <w:color w:val="auto"/>
                <w:kern w:val="0"/>
                <w:sz w:val="13"/>
                <w:szCs w:val="13"/>
                <w:highlight w:val="none"/>
                <w:lang w:val="en-US" w:eastAsia="zh-CN"/>
              </w:rPr>
              <w:t xml:space="preserve">11,121.88 </w:t>
            </w:r>
            <w:r>
              <w:rPr>
                <w:rFonts w:ascii="Times New Roman" w:hAnsi="Times New Roman" w:eastAsia="宋体" w:cs="Times New Roman"/>
                <w:color w:val="auto"/>
                <w:kern w:val="0"/>
                <w:sz w:val="13"/>
                <w:szCs w:val="13"/>
                <w:highlight w:val="none"/>
              </w:rPr>
              <w:t>万元</w:t>
            </w:r>
          </w:p>
        </w:tc>
      </w:tr>
      <w:tr w14:paraId="6FBE4230">
        <w:tblPrEx>
          <w:tblCellMar>
            <w:top w:w="0" w:type="dxa"/>
            <w:left w:w="108" w:type="dxa"/>
            <w:bottom w:w="0" w:type="dxa"/>
            <w:right w:w="108" w:type="dxa"/>
          </w:tblCellMar>
        </w:tblPrEx>
        <w:trPr>
          <w:trHeight w:val="348" w:hRule="atLeast"/>
        </w:trPr>
        <w:tc>
          <w:tcPr>
            <w:tcW w:w="977" w:type="pct"/>
            <w:gridSpan w:val="3"/>
            <w:vMerge w:val="continue"/>
            <w:tcBorders>
              <w:top w:val="single" w:color="auto" w:sz="4" w:space="0"/>
              <w:left w:val="single" w:color="auto" w:sz="4" w:space="0"/>
              <w:bottom w:val="single" w:color="000000" w:sz="4" w:space="0"/>
              <w:right w:val="single" w:color="000000" w:sz="4" w:space="0"/>
            </w:tcBorders>
            <w:vAlign w:val="center"/>
          </w:tcPr>
          <w:p w14:paraId="7B98C13A">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962" w:type="pct"/>
            <w:tcBorders>
              <w:top w:val="nil"/>
              <w:left w:val="nil"/>
              <w:bottom w:val="single" w:color="auto" w:sz="4" w:space="0"/>
              <w:right w:val="single" w:color="auto" w:sz="4" w:space="0"/>
            </w:tcBorders>
            <w:shd w:val="clear" w:color="auto" w:fill="auto"/>
            <w:vAlign w:val="center"/>
          </w:tcPr>
          <w:p w14:paraId="0DA1EDCF">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 xml:space="preserve"> 其中：财政拨款</w:t>
            </w:r>
          </w:p>
        </w:tc>
        <w:tc>
          <w:tcPr>
            <w:tcW w:w="808" w:type="pct"/>
            <w:tcBorders>
              <w:top w:val="nil"/>
              <w:left w:val="nil"/>
              <w:bottom w:val="single" w:color="auto" w:sz="4" w:space="0"/>
              <w:right w:val="single" w:color="auto" w:sz="4" w:space="0"/>
            </w:tcBorders>
            <w:shd w:val="clear" w:color="auto" w:fill="auto"/>
            <w:vAlign w:val="center"/>
          </w:tcPr>
          <w:p w14:paraId="48AB42C7">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p>
        </w:tc>
        <w:tc>
          <w:tcPr>
            <w:tcW w:w="887" w:type="pct"/>
            <w:gridSpan w:val="2"/>
            <w:tcBorders>
              <w:top w:val="single" w:color="auto" w:sz="4" w:space="0"/>
              <w:left w:val="nil"/>
              <w:bottom w:val="single" w:color="auto" w:sz="4" w:space="0"/>
              <w:right w:val="single" w:color="000000" w:sz="4" w:space="0"/>
            </w:tcBorders>
            <w:shd w:val="clear" w:color="auto" w:fill="auto"/>
            <w:vAlign w:val="center"/>
          </w:tcPr>
          <w:p w14:paraId="4800B70D">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 xml:space="preserve"> 其中：财政拨款</w:t>
            </w:r>
          </w:p>
        </w:tc>
        <w:tc>
          <w:tcPr>
            <w:tcW w:w="1364" w:type="pct"/>
            <w:gridSpan w:val="2"/>
            <w:tcBorders>
              <w:top w:val="single" w:color="auto" w:sz="4" w:space="0"/>
              <w:left w:val="nil"/>
              <w:bottom w:val="single" w:color="auto" w:sz="4" w:space="0"/>
              <w:right w:val="single" w:color="000000" w:sz="4" w:space="0"/>
            </w:tcBorders>
            <w:shd w:val="clear" w:color="auto" w:fill="auto"/>
            <w:vAlign w:val="center"/>
          </w:tcPr>
          <w:p w14:paraId="703A6706">
            <w:pPr>
              <w:widowControl/>
              <w:spacing w:before="0" w:after="0" w:line="0" w:lineRule="atLeast"/>
              <w:ind w:firstLine="0" w:firstLineChars="0"/>
              <w:jc w:val="righ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　</w:t>
            </w:r>
          </w:p>
        </w:tc>
      </w:tr>
      <w:tr w14:paraId="3077988D">
        <w:tblPrEx>
          <w:tblCellMar>
            <w:top w:w="0" w:type="dxa"/>
            <w:left w:w="108" w:type="dxa"/>
            <w:bottom w:w="0" w:type="dxa"/>
            <w:right w:w="108" w:type="dxa"/>
          </w:tblCellMar>
        </w:tblPrEx>
        <w:trPr>
          <w:trHeight w:val="348" w:hRule="atLeast"/>
        </w:trPr>
        <w:tc>
          <w:tcPr>
            <w:tcW w:w="977" w:type="pct"/>
            <w:gridSpan w:val="3"/>
            <w:vMerge w:val="continue"/>
            <w:tcBorders>
              <w:top w:val="single" w:color="auto" w:sz="4" w:space="0"/>
              <w:left w:val="single" w:color="auto" w:sz="4" w:space="0"/>
              <w:bottom w:val="single" w:color="000000" w:sz="4" w:space="0"/>
              <w:right w:val="single" w:color="000000" w:sz="4" w:space="0"/>
            </w:tcBorders>
            <w:vAlign w:val="center"/>
          </w:tcPr>
          <w:p w14:paraId="7962926A">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962" w:type="pct"/>
            <w:tcBorders>
              <w:top w:val="nil"/>
              <w:left w:val="nil"/>
              <w:bottom w:val="single" w:color="auto" w:sz="4" w:space="0"/>
              <w:right w:val="single" w:color="auto" w:sz="4" w:space="0"/>
            </w:tcBorders>
            <w:shd w:val="clear" w:color="auto" w:fill="auto"/>
            <w:vAlign w:val="center"/>
          </w:tcPr>
          <w:p w14:paraId="52F0EBEA">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 xml:space="preserve">      债券资金</w:t>
            </w:r>
          </w:p>
        </w:tc>
        <w:tc>
          <w:tcPr>
            <w:tcW w:w="808" w:type="pct"/>
            <w:tcBorders>
              <w:top w:val="nil"/>
              <w:left w:val="nil"/>
              <w:bottom w:val="single" w:color="auto" w:sz="4" w:space="0"/>
              <w:right w:val="single" w:color="auto" w:sz="4" w:space="0"/>
            </w:tcBorders>
            <w:shd w:val="clear" w:color="auto" w:fill="auto"/>
            <w:vAlign w:val="center"/>
          </w:tcPr>
          <w:p w14:paraId="5A497572">
            <w:pPr>
              <w:widowControl/>
              <w:spacing w:before="0" w:after="0" w:line="0" w:lineRule="atLeast"/>
              <w:ind w:firstLine="0" w:firstLineChars="0"/>
              <w:jc w:val="center"/>
              <w:rPr>
                <w:rFonts w:hint="eastAsia" w:ascii="Times New Roman" w:hAnsi="Times New Roman" w:eastAsia="宋体" w:cs="Times New Roman"/>
                <w:color w:val="auto"/>
                <w:kern w:val="0"/>
                <w:sz w:val="13"/>
                <w:szCs w:val="13"/>
                <w:highlight w:val="none"/>
              </w:rPr>
            </w:pPr>
            <w:r>
              <w:rPr>
                <w:rFonts w:hint="eastAsia" w:ascii="Times New Roman" w:hAnsi="Times New Roman" w:eastAsia="宋体" w:cs="Times New Roman"/>
                <w:color w:val="auto"/>
                <w:kern w:val="0"/>
                <w:sz w:val="13"/>
                <w:szCs w:val="13"/>
                <w:highlight w:val="none"/>
                <w:lang w:val="en-US" w:eastAsia="zh-CN"/>
              </w:rPr>
              <w:t>40,000.00</w:t>
            </w:r>
            <w:r>
              <w:rPr>
                <w:rFonts w:hint="eastAsia" w:ascii="Times New Roman" w:hAnsi="Times New Roman" w:eastAsia="宋体" w:cs="Times New Roman"/>
                <w:color w:val="auto"/>
                <w:kern w:val="0"/>
                <w:sz w:val="13"/>
                <w:szCs w:val="13"/>
                <w:highlight w:val="none"/>
              </w:rPr>
              <w:t>万元</w:t>
            </w:r>
          </w:p>
        </w:tc>
        <w:tc>
          <w:tcPr>
            <w:tcW w:w="887" w:type="pct"/>
            <w:gridSpan w:val="2"/>
            <w:tcBorders>
              <w:top w:val="single" w:color="auto" w:sz="4" w:space="0"/>
              <w:left w:val="nil"/>
              <w:bottom w:val="single" w:color="auto" w:sz="4" w:space="0"/>
              <w:right w:val="single" w:color="000000" w:sz="4" w:space="0"/>
            </w:tcBorders>
            <w:shd w:val="clear" w:color="auto" w:fill="auto"/>
            <w:vAlign w:val="center"/>
          </w:tcPr>
          <w:p w14:paraId="2D7B25D4">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 xml:space="preserve">     债券资金</w:t>
            </w:r>
          </w:p>
        </w:tc>
        <w:tc>
          <w:tcPr>
            <w:tcW w:w="1364" w:type="pct"/>
            <w:gridSpan w:val="2"/>
            <w:tcBorders>
              <w:top w:val="single" w:color="auto" w:sz="4" w:space="0"/>
              <w:left w:val="nil"/>
              <w:bottom w:val="single" w:color="auto" w:sz="4" w:space="0"/>
              <w:right w:val="single" w:color="000000" w:sz="4" w:space="0"/>
            </w:tcBorders>
            <w:shd w:val="clear" w:color="auto" w:fill="auto"/>
            <w:vAlign w:val="center"/>
          </w:tcPr>
          <w:p w14:paraId="762E5F75">
            <w:pPr>
              <w:widowControl/>
              <w:spacing w:before="0" w:after="0" w:line="0" w:lineRule="atLeast"/>
              <w:ind w:firstLine="0" w:firstLineChars="0"/>
              <w:jc w:val="right"/>
              <w:rPr>
                <w:rFonts w:ascii="Times New Roman" w:hAnsi="Times New Roman" w:eastAsia="宋体" w:cs="Times New Roman"/>
                <w:color w:val="auto"/>
                <w:kern w:val="0"/>
                <w:sz w:val="13"/>
                <w:szCs w:val="13"/>
                <w:highlight w:val="none"/>
              </w:rPr>
            </w:pPr>
            <w:r>
              <w:rPr>
                <w:rFonts w:hint="eastAsia" w:ascii="Times New Roman" w:hAnsi="Times New Roman" w:eastAsia="宋体" w:cs="Times New Roman"/>
                <w:color w:val="auto"/>
                <w:kern w:val="0"/>
                <w:sz w:val="13"/>
                <w:szCs w:val="13"/>
                <w:highlight w:val="none"/>
                <w:lang w:val="en-US" w:eastAsia="zh-CN"/>
              </w:rPr>
              <w:t xml:space="preserve">10,000.00 </w:t>
            </w:r>
            <w:r>
              <w:rPr>
                <w:rFonts w:ascii="Times New Roman" w:hAnsi="Times New Roman" w:eastAsia="宋体" w:cs="Times New Roman"/>
                <w:color w:val="auto"/>
                <w:kern w:val="0"/>
                <w:sz w:val="13"/>
                <w:szCs w:val="13"/>
                <w:highlight w:val="none"/>
              </w:rPr>
              <w:t>万元</w:t>
            </w:r>
          </w:p>
        </w:tc>
      </w:tr>
      <w:tr w14:paraId="100387B2">
        <w:tblPrEx>
          <w:tblCellMar>
            <w:top w:w="0" w:type="dxa"/>
            <w:left w:w="108" w:type="dxa"/>
            <w:bottom w:w="0" w:type="dxa"/>
            <w:right w:w="108" w:type="dxa"/>
          </w:tblCellMar>
        </w:tblPrEx>
        <w:trPr>
          <w:trHeight w:val="385" w:hRule="atLeast"/>
        </w:trPr>
        <w:tc>
          <w:tcPr>
            <w:tcW w:w="977" w:type="pct"/>
            <w:gridSpan w:val="3"/>
            <w:vMerge w:val="continue"/>
            <w:tcBorders>
              <w:top w:val="single" w:color="auto" w:sz="4" w:space="0"/>
              <w:left w:val="single" w:color="auto" w:sz="4" w:space="0"/>
              <w:bottom w:val="single" w:color="000000" w:sz="4" w:space="0"/>
              <w:right w:val="single" w:color="000000" w:sz="4" w:space="0"/>
            </w:tcBorders>
            <w:vAlign w:val="center"/>
          </w:tcPr>
          <w:p w14:paraId="59A8F7A1">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962" w:type="pct"/>
            <w:tcBorders>
              <w:top w:val="nil"/>
              <w:left w:val="nil"/>
              <w:bottom w:val="single" w:color="auto" w:sz="4" w:space="0"/>
              <w:right w:val="single" w:color="auto" w:sz="4" w:space="0"/>
            </w:tcBorders>
            <w:shd w:val="clear" w:color="auto" w:fill="auto"/>
            <w:vAlign w:val="center"/>
          </w:tcPr>
          <w:p w14:paraId="69C22FEF">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 xml:space="preserve">      自筹资金</w:t>
            </w:r>
          </w:p>
        </w:tc>
        <w:tc>
          <w:tcPr>
            <w:tcW w:w="808" w:type="pct"/>
            <w:tcBorders>
              <w:top w:val="nil"/>
              <w:left w:val="nil"/>
              <w:bottom w:val="single" w:color="auto" w:sz="4" w:space="0"/>
              <w:right w:val="single" w:color="auto" w:sz="4" w:space="0"/>
            </w:tcBorders>
            <w:shd w:val="clear" w:color="auto" w:fill="auto"/>
            <w:vAlign w:val="center"/>
          </w:tcPr>
          <w:p w14:paraId="44CD328E">
            <w:pPr>
              <w:widowControl/>
              <w:spacing w:before="0" w:after="0" w:line="0" w:lineRule="atLeast"/>
              <w:ind w:firstLine="0" w:firstLineChars="0"/>
              <w:jc w:val="center"/>
              <w:rPr>
                <w:rFonts w:hint="eastAsia" w:ascii="Times New Roman" w:hAnsi="Times New Roman" w:eastAsia="宋体" w:cs="Times New Roman"/>
                <w:color w:val="auto"/>
                <w:kern w:val="0"/>
                <w:sz w:val="13"/>
                <w:szCs w:val="13"/>
                <w:highlight w:val="none"/>
              </w:rPr>
            </w:pPr>
            <w:r>
              <w:rPr>
                <w:rFonts w:hint="eastAsia" w:ascii="Times New Roman" w:hAnsi="Times New Roman" w:eastAsia="宋体" w:cs="Times New Roman"/>
                <w:color w:val="auto"/>
                <w:kern w:val="0"/>
                <w:sz w:val="13"/>
                <w:szCs w:val="13"/>
                <w:highlight w:val="none"/>
                <w:lang w:val="en-US" w:eastAsia="zh-CN"/>
              </w:rPr>
              <w:t>11,121.88</w:t>
            </w:r>
            <w:r>
              <w:rPr>
                <w:rFonts w:hint="eastAsia" w:ascii="Times New Roman" w:hAnsi="Times New Roman" w:eastAsia="宋体" w:cs="Times New Roman"/>
                <w:color w:val="auto"/>
                <w:kern w:val="0"/>
                <w:sz w:val="13"/>
                <w:szCs w:val="13"/>
                <w:highlight w:val="none"/>
              </w:rPr>
              <w:t>万元</w:t>
            </w:r>
          </w:p>
        </w:tc>
        <w:tc>
          <w:tcPr>
            <w:tcW w:w="887" w:type="pct"/>
            <w:gridSpan w:val="2"/>
            <w:tcBorders>
              <w:top w:val="single" w:color="auto" w:sz="4" w:space="0"/>
              <w:left w:val="nil"/>
              <w:bottom w:val="single" w:color="auto" w:sz="4" w:space="0"/>
              <w:right w:val="single" w:color="000000" w:sz="4" w:space="0"/>
            </w:tcBorders>
            <w:shd w:val="clear" w:color="auto" w:fill="auto"/>
            <w:vAlign w:val="center"/>
          </w:tcPr>
          <w:p w14:paraId="35755C0B">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 xml:space="preserve">     自筹资金</w:t>
            </w:r>
          </w:p>
        </w:tc>
        <w:tc>
          <w:tcPr>
            <w:tcW w:w="1364" w:type="pct"/>
            <w:gridSpan w:val="2"/>
            <w:tcBorders>
              <w:top w:val="nil"/>
              <w:left w:val="nil"/>
              <w:bottom w:val="single" w:color="auto" w:sz="4" w:space="0"/>
              <w:right w:val="single" w:color="auto" w:sz="4" w:space="0"/>
            </w:tcBorders>
            <w:shd w:val="clear" w:color="auto" w:fill="auto"/>
            <w:vAlign w:val="center"/>
          </w:tcPr>
          <w:p w14:paraId="3BFF0B85">
            <w:pPr>
              <w:widowControl/>
              <w:spacing w:before="0" w:after="0" w:line="0" w:lineRule="atLeast"/>
              <w:ind w:firstLine="0" w:firstLineChars="0"/>
              <w:jc w:val="righ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　</w:t>
            </w:r>
          </w:p>
          <w:p w14:paraId="3588D085">
            <w:pPr>
              <w:widowControl/>
              <w:spacing w:before="0" w:after="0" w:line="0" w:lineRule="atLeast"/>
              <w:ind w:firstLine="780" w:firstLineChars="600"/>
              <w:jc w:val="right"/>
              <w:rPr>
                <w:rFonts w:hint="default" w:ascii="Times New Roman" w:hAnsi="Times New Roman" w:eastAsia="宋体" w:cs="Times New Roman"/>
                <w:color w:val="auto"/>
                <w:kern w:val="0"/>
                <w:sz w:val="13"/>
                <w:szCs w:val="13"/>
                <w:highlight w:val="none"/>
                <w:lang w:val="en-US" w:eastAsia="zh-CN"/>
              </w:rPr>
            </w:pPr>
            <w:r>
              <w:rPr>
                <w:rFonts w:hint="eastAsia" w:ascii="Times New Roman" w:hAnsi="Times New Roman" w:eastAsia="宋体" w:cs="Times New Roman"/>
                <w:color w:val="auto"/>
                <w:kern w:val="0"/>
                <w:sz w:val="13"/>
                <w:szCs w:val="13"/>
                <w:highlight w:val="none"/>
                <w:lang w:val="en-US" w:eastAsia="zh-CN"/>
              </w:rPr>
              <w:t>1,121.88万元</w:t>
            </w:r>
          </w:p>
        </w:tc>
      </w:tr>
      <w:tr w14:paraId="3C047F5E">
        <w:tblPrEx>
          <w:tblCellMar>
            <w:top w:w="0" w:type="dxa"/>
            <w:left w:w="108" w:type="dxa"/>
            <w:bottom w:w="0" w:type="dxa"/>
            <w:right w:w="108" w:type="dxa"/>
          </w:tblCellMar>
        </w:tblPrEx>
        <w:trPr>
          <w:trHeight w:val="348" w:hRule="atLeast"/>
        </w:trPr>
        <w:tc>
          <w:tcPr>
            <w:tcW w:w="235" w:type="pct"/>
            <w:vMerge w:val="restart"/>
            <w:tcBorders>
              <w:top w:val="nil"/>
              <w:left w:val="single" w:color="auto" w:sz="4" w:space="0"/>
              <w:bottom w:val="single" w:color="auto" w:sz="4" w:space="0"/>
              <w:right w:val="single" w:color="auto" w:sz="4" w:space="0"/>
            </w:tcBorders>
            <w:shd w:val="clear" w:color="auto" w:fill="auto"/>
            <w:vAlign w:val="center"/>
          </w:tcPr>
          <w:p w14:paraId="22BDB1AD">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绩</w:t>
            </w:r>
          </w:p>
          <w:p w14:paraId="702D0179">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效</w:t>
            </w:r>
          </w:p>
          <w:p w14:paraId="7FA89F8C">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目</w:t>
            </w:r>
          </w:p>
          <w:p w14:paraId="40463FAA">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标</w:t>
            </w:r>
          </w:p>
        </w:tc>
        <w:tc>
          <w:tcPr>
            <w:tcW w:w="2512" w:type="pct"/>
            <w:gridSpan w:val="4"/>
            <w:tcBorders>
              <w:top w:val="single" w:color="auto" w:sz="4" w:space="0"/>
              <w:left w:val="nil"/>
              <w:bottom w:val="single" w:color="auto" w:sz="4" w:space="0"/>
              <w:right w:val="single" w:color="auto" w:sz="4" w:space="0"/>
            </w:tcBorders>
            <w:shd w:val="clear" w:color="auto" w:fill="auto"/>
            <w:vAlign w:val="center"/>
          </w:tcPr>
          <w:p w14:paraId="174177C1">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项目总体建设目标</w:t>
            </w:r>
          </w:p>
        </w:tc>
        <w:tc>
          <w:tcPr>
            <w:tcW w:w="2251" w:type="pct"/>
            <w:gridSpan w:val="4"/>
            <w:tcBorders>
              <w:top w:val="single" w:color="auto" w:sz="4" w:space="0"/>
              <w:left w:val="nil"/>
              <w:bottom w:val="single" w:color="auto" w:sz="4" w:space="0"/>
              <w:right w:val="single" w:color="000000" w:sz="4" w:space="0"/>
            </w:tcBorders>
            <w:shd w:val="clear" w:color="auto" w:fill="auto"/>
            <w:vAlign w:val="center"/>
          </w:tcPr>
          <w:p w14:paraId="2E324819">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202</w:t>
            </w:r>
            <w:r>
              <w:rPr>
                <w:rFonts w:hint="eastAsia" w:ascii="Times New Roman" w:hAnsi="Times New Roman" w:eastAsia="宋体" w:cs="Times New Roman"/>
                <w:color w:val="auto"/>
                <w:kern w:val="0"/>
                <w:sz w:val="13"/>
                <w:szCs w:val="13"/>
                <w:highlight w:val="none"/>
                <w:lang w:val="en-US" w:eastAsia="zh-CN"/>
              </w:rPr>
              <w:t>5</w:t>
            </w:r>
            <w:r>
              <w:rPr>
                <w:rFonts w:ascii="Times New Roman" w:hAnsi="Times New Roman" w:eastAsia="宋体" w:cs="Times New Roman"/>
                <w:color w:val="auto"/>
                <w:kern w:val="0"/>
                <w:sz w:val="13"/>
                <w:szCs w:val="13"/>
                <w:highlight w:val="none"/>
              </w:rPr>
              <w:t>年度目标</w:t>
            </w:r>
          </w:p>
        </w:tc>
      </w:tr>
      <w:tr w14:paraId="68503FCA">
        <w:tblPrEx>
          <w:tblCellMar>
            <w:top w:w="0" w:type="dxa"/>
            <w:left w:w="108" w:type="dxa"/>
            <w:bottom w:w="0" w:type="dxa"/>
            <w:right w:w="108" w:type="dxa"/>
          </w:tblCellMar>
        </w:tblPrEx>
        <w:trPr>
          <w:trHeight w:val="2928" w:hRule="atLeast"/>
        </w:trPr>
        <w:tc>
          <w:tcPr>
            <w:tcW w:w="235" w:type="pct"/>
            <w:vMerge w:val="continue"/>
            <w:tcBorders>
              <w:top w:val="nil"/>
              <w:left w:val="single" w:color="auto" w:sz="4" w:space="0"/>
              <w:bottom w:val="single" w:color="auto" w:sz="4" w:space="0"/>
              <w:right w:val="single" w:color="auto" w:sz="4" w:space="0"/>
            </w:tcBorders>
            <w:vAlign w:val="center"/>
          </w:tcPr>
          <w:p w14:paraId="6ACAF102">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2512" w:type="pct"/>
            <w:gridSpan w:val="4"/>
            <w:tcBorders>
              <w:top w:val="single" w:color="auto" w:sz="4" w:space="0"/>
              <w:left w:val="nil"/>
              <w:bottom w:val="single" w:color="auto" w:sz="4" w:space="0"/>
              <w:right w:val="single" w:color="auto" w:sz="4" w:space="0"/>
            </w:tcBorders>
            <w:shd w:val="clear" w:color="auto" w:fill="auto"/>
          </w:tcPr>
          <w:p w14:paraId="1F4482FE">
            <w:pPr>
              <w:widowControl/>
              <w:spacing w:before="0" w:after="0" w:line="0" w:lineRule="atLeast"/>
              <w:ind w:firstLine="0" w:firstLineChars="0"/>
              <w:jc w:val="left"/>
              <w:rPr>
                <w:rFonts w:hint="default" w:ascii="Times New Roman" w:hAnsi="Times New Roman" w:eastAsia="宋体" w:cs="Times New Roman"/>
                <w:color w:val="auto"/>
                <w:kern w:val="0"/>
                <w:sz w:val="13"/>
                <w:szCs w:val="13"/>
                <w:highlight w:val="none"/>
                <w:lang w:val="en-US" w:eastAsia="zh-CN"/>
              </w:rPr>
            </w:pPr>
            <w:r>
              <w:rPr>
                <w:rFonts w:ascii="Times New Roman" w:hAnsi="Times New Roman" w:eastAsia="宋体" w:cs="Times New Roman"/>
                <w:color w:val="auto"/>
                <w:kern w:val="0"/>
                <w:sz w:val="13"/>
                <w:szCs w:val="13"/>
                <w:highlight w:val="none"/>
              </w:rPr>
              <w:t>目标1：</w:t>
            </w:r>
            <w:r>
              <w:rPr>
                <w:rFonts w:hint="eastAsia" w:ascii="Times New Roman" w:hAnsi="Times New Roman" w:eastAsia="宋体" w:cs="Times New Roman"/>
                <w:color w:val="auto"/>
                <w:kern w:val="0"/>
                <w:sz w:val="13"/>
                <w:szCs w:val="13"/>
                <w:highlight w:val="none"/>
                <w:lang w:val="en-US" w:eastAsia="zh-CN"/>
              </w:rPr>
              <w:t>养老服务中心、托育中心、居民停车场、小区公共部位改造、排水管网改造等</w:t>
            </w:r>
          </w:p>
          <w:p w14:paraId="577FC679">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目标</w:t>
            </w:r>
            <w:r>
              <w:rPr>
                <w:rFonts w:hint="eastAsia" w:ascii="Times New Roman" w:hAnsi="Times New Roman" w:eastAsia="宋体" w:cs="Times New Roman"/>
                <w:color w:val="auto"/>
                <w:kern w:val="0"/>
                <w:sz w:val="13"/>
                <w:szCs w:val="13"/>
                <w:highlight w:val="none"/>
                <w:lang w:val="en-US" w:eastAsia="zh-CN"/>
              </w:rPr>
              <w:t>2</w:t>
            </w:r>
            <w:r>
              <w:rPr>
                <w:rFonts w:ascii="Times New Roman" w:hAnsi="Times New Roman" w:eastAsia="宋体" w:cs="Times New Roman"/>
                <w:color w:val="auto"/>
                <w:kern w:val="0"/>
                <w:sz w:val="13"/>
                <w:szCs w:val="13"/>
                <w:highlight w:val="none"/>
              </w:rPr>
              <w:t>：在202</w:t>
            </w:r>
            <w:r>
              <w:rPr>
                <w:rFonts w:hint="eastAsia" w:ascii="Times New Roman" w:hAnsi="Times New Roman" w:eastAsia="宋体" w:cs="Times New Roman"/>
                <w:color w:val="auto"/>
                <w:kern w:val="0"/>
                <w:sz w:val="13"/>
                <w:szCs w:val="13"/>
                <w:highlight w:val="none"/>
                <w:lang w:val="en-US" w:eastAsia="zh-CN"/>
              </w:rPr>
              <w:t>8</w:t>
            </w:r>
            <w:r>
              <w:rPr>
                <w:rFonts w:ascii="Times New Roman" w:hAnsi="Times New Roman" w:eastAsia="宋体" w:cs="Times New Roman"/>
                <w:color w:val="auto"/>
                <w:kern w:val="0"/>
                <w:sz w:val="13"/>
                <w:szCs w:val="13"/>
                <w:highlight w:val="none"/>
              </w:rPr>
              <w:t>年</w:t>
            </w:r>
            <w:r>
              <w:rPr>
                <w:rFonts w:hint="eastAsia" w:ascii="Times New Roman" w:hAnsi="Times New Roman" w:eastAsia="宋体" w:cs="Times New Roman"/>
                <w:color w:val="auto"/>
                <w:kern w:val="0"/>
                <w:sz w:val="13"/>
                <w:szCs w:val="13"/>
                <w:highlight w:val="none"/>
                <w:lang w:val="en-US" w:eastAsia="zh-CN"/>
              </w:rPr>
              <w:t>3</w:t>
            </w:r>
            <w:r>
              <w:rPr>
                <w:rFonts w:ascii="Times New Roman" w:hAnsi="Times New Roman" w:eastAsia="宋体" w:cs="Times New Roman"/>
                <w:color w:val="auto"/>
                <w:kern w:val="0"/>
                <w:sz w:val="13"/>
                <w:szCs w:val="13"/>
                <w:highlight w:val="none"/>
              </w:rPr>
              <w:t>月</w:t>
            </w:r>
            <w:r>
              <w:rPr>
                <w:rFonts w:hint="eastAsia" w:ascii="Times New Roman" w:hAnsi="Times New Roman" w:eastAsia="宋体" w:cs="Times New Roman"/>
                <w:color w:val="auto"/>
                <w:kern w:val="0"/>
                <w:sz w:val="13"/>
                <w:szCs w:val="13"/>
                <w:highlight w:val="none"/>
              </w:rPr>
              <w:t>3</w:t>
            </w:r>
            <w:r>
              <w:rPr>
                <w:rFonts w:hint="eastAsia" w:ascii="Times New Roman" w:hAnsi="Times New Roman" w:eastAsia="宋体" w:cs="Times New Roman"/>
                <w:color w:val="auto"/>
                <w:kern w:val="0"/>
                <w:sz w:val="13"/>
                <w:szCs w:val="13"/>
                <w:highlight w:val="none"/>
                <w:lang w:val="en-US" w:eastAsia="zh-CN"/>
              </w:rPr>
              <w:t>1</w:t>
            </w:r>
            <w:r>
              <w:rPr>
                <w:rFonts w:hint="eastAsia" w:ascii="Times New Roman" w:hAnsi="Times New Roman" w:eastAsia="宋体" w:cs="Times New Roman"/>
                <w:color w:val="auto"/>
                <w:kern w:val="0"/>
                <w:sz w:val="13"/>
                <w:szCs w:val="13"/>
                <w:highlight w:val="none"/>
              </w:rPr>
              <w:t>日</w:t>
            </w:r>
            <w:r>
              <w:rPr>
                <w:rFonts w:ascii="Times New Roman" w:hAnsi="Times New Roman" w:eastAsia="宋体" w:cs="Times New Roman"/>
                <w:color w:val="auto"/>
                <w:kern w:val="0"/>
                <w:sz w:val="13"/>
                <w:szCs w:val="13"/>
                <w:highlight w:val="none"/>
              </w:rPr>
              <w:t>前完成项目竣工验收</w:t>
            </w:r>
          </w:p>
          <w:p w14:paraId="6FA517FC">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目标</w:t>
            </w:r>
            <w:r>
              <w:rPr>
                <w:rFonts w:hint="eastAsia" w:ascii="Times New Roman" w:hAnsi="Times New Roman" w:eastAsia="宋体" w:cs="Times New Roman"/>
                <w:color w:val="auto"/>
                <w:kern w:val="0"/>
                <w:sz w:val="13"/>
                <w:szCs w:val="13"/>
                <w:highlight w:val="none"/>
                <w:lang w:val="en-US" w:eastAsia="zh-CN"/>
              </w:rPr>
              <w:t>3</w:t>
            </w:r>
            <w:r>
              <w:rPr>
                <w:rFonts w:ascii="Times New Roman" w:hAnsi="Times New Roman" w:eastAsia="宋体" w:cs="Times New Roman"/>
                <w:color w:val="auto"/>
                <w:kern w:val="0"/>
                <w:sz w:val="13"/>
                <w:szCs w:val="13"/>
                <w:highlight w:val="none"/>
              </w:rPr>
              <w:t>：债券存续期内实现年度收支平衡和总体收支平衡</w:t>
            </w:r>
          </w:p>
          <w:p w14:paraId="76142249">
            <w:pPr>
              <w:widowControl/>
              <w:spacing w:before="0" w:after="0" w:line="0" w:lineRule="atLeast"/>
              <w:ind w:firstLine="0" w:firstLineChars="0"/>
              <w:jc w:val="left"/>
              <w:rPr>
                <w:rFonts w:hint="eastAsia" w:ascii="Times New Roman" w:hAnsi="Times New Roman" w:eastAsia="宋体" w:cs="Times New Roman"/>
                <w:color w:val="auto"/>
                <w:kern w:val="0"/>
                <w:sz w:val="13"/>
                <w:szCs w:val="13"/>
                <w:highlight w:val="none"/>
                <w:lang w:eastAsia="zh-CN"/>
              </w:rPr>
            </w:pPr>
            <w:r>
              <w:rPr>
                <w:rFonts w:ascii="Times New Roman" w:hAnsi="Times New Roman" w:eastAsia="宋体" w:cs="Times New Roman"/>
                <w:color w:val="auto"/>
                <w:kern w:val="0"/>
                <w:sz w:val="13"/>
                <w:szCs w:val="13"/>
                <w:highlight w:val="none"/>
              </w:rPr>
              <w:t>目标</w:t>
            </w:r>
            <w:r>
              <w:rPr>
                <w:rFonts w:hint="eastAsia" w:ascii="Times New Roman" w:hAnsi="Times New Roman" w:eastAsia="宋体" w:cs="Times New Roman"/>
                <w:color w:val="auto"/>
                <w:kern w:val="0"/>
                <w:sz w:val="13"/>
                <w:szCs w:val="13"/>
                <w:highlight w:val="none"/>
                <w:lang w:val="en-US" w:eastAsia="zh-CN"/>
              </w:rPr>
              <w:t>4</w:t>
            </w:r>
            <w:r>
              <w:rPr>
                <w:rFonts w:ascii="Times New Roman" w:hAnsi="Times New Roman" w:eastAsia="宋体" w:cs="Times New Roman"/>
                <w:color w:val="auto"/>
                <w:kern w:val="0"/>
                <w:sz w:val="13"/>
                <w:szCs w:val="13"/>
                <w:highlight w:val="none"/>
              </w:rPr>
              <w:t>：</w:t>
            </w:r>
            <w:r>
              <w:rPr>
                <w:rFonts w:hint="eastAsia" w:ascii="Times New Roman" w:hAnsi="Times New Roman" w:eastAsia="宋体" w:cs="Times New Roman"/>
                <w:color w:val="auto"/>
                <w:kern w:val="0"/>
                <w:sz w:val="13"/>
                <w:szCs w:val="13"/>
                <w:highlight w:val="none"/>
              </w:rPr>
              <w:t>改善城南片区老旧小区基础设施陈旧、缺乏、混乱等现状，切实提高项目区居民生活水平和生活质量，维护老旧小区居民的切身利益，拓展居民生活发展空间。将城南片区区域内排水管网进行探测修复城市，解决区域内雨污水混流、易涝积水点、管网破损等问题，深入打好污染防治攻坚战，着力补齐市政基础设施短板</w:t>
            </w:r>
            <w:r>
              <w:rPr>
                <w:rFonts w:hint="eastAsia" w:ascii="Times New Roman" w:hAnsi="Times New Roman" w:eastAsia="宋体" w:cs="Times New Roman"/>
                <w:color w:val="auto"/>
                <w:kern w:val="0"/>
                <w:sz w:val="13"/>
                <w:szCs w:val="13"/>
                <w:highlight w:val="none"/>
                <w:lang w:eastAsia="zh-CN"/>
              </w:rPr>
              <w:t>。</w:t>
            </w:r>
          </w:p>
          <w:p w14:paraId="414F1223">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2251" w:type="pct"/>
            <w:gridSpan w:val="4"/>
            <w:tcBorders>
              <w:top w:val="single" w:color="auto" w:sz="4" w:space="0"/>
              <w:left w:val="nil"/>
              <w:bottom w:val="single" w:color="auto" w:sz="4" w:space="0"/>
              <w:right w:val="single" w:color="000000" w:sz="4" w:space="0"/>
            </w:tcBorders>
            <w:shd w:val="clear" w:color="auto" w:fill="auto"/>
          </w:tcPr>
          <w:p w14:paraId="52F1FE6C">
            <w:pPr>
              <w:widowControl/>
              <w:spacing w:before="0" w:after="0" w:line="0" w:lineRule="atLeast"/>
              <w:ind w:firstLine="0" w:firstLineChars="0"/>
              <w:jc w:val="left"/>
              <w:rPr>
                <w:rFonts w:hint="eastAsia"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目标1：</w:t>
            </w:r>
            <w:r>
              <w:rPr>
                <w:rFonts w:hint="eastAsia" w:ascii="Times New Roman" w:hAnsi="Times New Roman" w:eastAsia="宋体" w:cs="Times New Roman"/>
                <w:color w:val="auto"/>
                <w:kern w:val="0"/>
                <w:sz w:val="13"/>
                <w:szCs w:val="13"/>
                <w:highlight w:val="none"/>
                <w:lang w:val="en-US" w:eastAsia="zh-CN"/>
              </w:rPr>
              <w:t>改造提升道路5km</w:t>
            </w:r>
            <w:r>
              <w:rPr>
                <w:rFonts w:hint="eastAsia" w:ascii="Times New Roman" w:hAnsi="Times New Roman" w:eastAsia="宋体" w:cs="Times New Roman"/>
                <w:color w:val="auto"/>
                <w:kern w:val="0"/>
                <w:sz w:val="13"/>
                <w:szCs w:val="13"/>
                <w:highlight w:val="none"/>
              </w:rPr>
              <w:t>。</w:t>
            </w:r>
          </w:p>
          <w:p w14:paraId="67E9C425">
            <w:pPr>
              <w:widowControl/>
              <w:spacing w:before="0" w:after="0" w:line="0" w:lineRule="atLeast"/>
              <w:ind w:firstLine="0" w:firstLineChars="0"/>
              <w:jc w:val="left"/>
              <w:rPr>
                <w:rFonts w:hint="default" w:ascii="Times New Roman" w:hAnsi="Times New Roman" w:eastAsia="宋体" w:cs="Times New Roman"/>
                <w:color w:val="auto"/>
                <w:kern w:val="0"/>
                <w:sz w:val="13"/>
                <w:szCs w:val="13"/>
                <w:highlight w:val="none"/>
                <w:lang w:val="en-US" w:eastAsia="zh-CN"/>
              </w:rPr>
            </w:pPr>
            <w:r>
              <w:rPr>
                <w:rFonts w:ascii="Times New Roman" w:hAnsi="Times New Roman" w:eastAsia="宋体" w:cs="Times New Roman"/>
                <w:color w:val="auto"/>
                <w:kern w:val="0"/>
                <w:sz w:val="13"/>
                <w:szCs w:val="13"/>
                <w:highlight w:val="none"/>
              </w:rPr>
              <w:t>目标</w:t>
            </w:r>
            <w:r>
              <w:rPr>
                <w:rFonts w:hint="eastAsia" w:ascii="Times New Roman" w:hAnsi="Times New Roman" w:eastAsia="宋体" w:cs="Times New Roman"/>
                <w:color w:val="auto"/>
                <w:kern w:val="0"/>
                <w:sz w:val="13"/>
                <w:szCs w:val="13"/>
                <w:highlight w:val="none"/>
                <w:lang w:val="en-US" w:eastAsia="zh-CN"/>
              </w:rPr>
              <w:t>2</w:t>
            </w:r>
            <w:r>
              <w:rPr>
                <w:rFonts w:ascii="Times New Roman" w:hAnsi="Times New Roman" w:eastAsia="宋体" w:cs="Times New Roman"/>
                <w:color w:val="auto"/>
                <w:kern w:val="0"/>
                <w:sz w:val="13"/>
                <w:szCs w:val="13"/>
                <w:highlight w:val="none"/>
              </w:rPr>
              <w:t>：</w:t>
            </w:r>
            <w:r>
              <w:rPr>
                <w:rFonts w:hint="eastAsia" w:ascii="Times New Roman" w:hAnsi="Times New Roman" w:eastAsia="宋体" w:cs="Times New Roman"/>
                <w:color w:val="auto"/>
                <w:kern w:val="0"/>
                <w:sz w:val="13"/>
                <w:szCs w:val="13"/>
                <w:highlight w:val="none"/>
                <w:lang w:val="en-US" w:eastAsia="zh-CN"/>
              </w:rPr>
              <w:t>小区公共部位改造工程</w:t>
            </w:r>
          </w:p>
          <w:p w14:paraId="7CD9D8C3">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目标</w:t>
            </w:r>
            <w:r>
              <w:rPr>
                <w:rFonts w:hint="eastAsia" w:ascii="Times New Roman" w:hAnsi="Times New Roman" w:eastAsia="宋体" w:cs="Times New Roman"/>
                <w:color w:val="auto"/>
                <w:kern w:val="0"/>
                <w:sz w:val="13"/>
                <w:szCs w:val="13"/>
                <w:highlight w:val="none"/>
                <w:lang w:val="en-US" w:eastAsia="zh-CN"/>
              </w:rPr>
              <w:t>3</w:t>
            </w:r>
            <w:r>
              <w:rPr>
                <w:rFonts w:ascii="Times New Roman" w:hAnsi="Times New Roman" w:eastAsia="宋体" w:cs="Times New Roman"/>
                <w:color w:val="auto"/>
                <w:kern w:val="0"/>
                <w:sz w:val="13"/>
                <w:szCs w:val="13"/>
                <w:highlight w:val="none"/>
              </w:rPr>
              <w:t>：债券存续期内实现年度收支平衡和总体收支平衡</w:t>
            </w:r>
          </w:p>
        </w:tc>
      </w:tr>
      <w:tr w14:paraId="1A1C0CBD">
        <w:tblPrEx>
          <w:tblCellMar>
            <w:top w:w="0" w:type="dxa"/>
            <w:left w:w="108" w:type="dxa"/>
            <w:bottom w:w="0" w:type="dxa"/>
            <w:right w:w="108" w:type="dxa"/>
          </w:tblCellMar>
        </w:tblPrEx>
        <w:trPr>
          <w:trHeight w:val="696" w:hRule="atLeast"/>
        </w:trPr>
        <w:tc>
          <w:tcPr>
            <w:tcW w:w="235" w:type="pct"/>
            <w:vMerge w:val="restart"/>
            <w:tcBorders>
              <w:top w:val="nil"/>
              <w:left w:val="single" w:color="auto" w:sz="4" w:space="0"/>
              <w:bottom w:val="single" w:color="auto" w:sz="4" w:space="0"/>
              <w:right w:val="single" w:color="auto" w:sz="4" w:space="0"/>
            </w:tcBorders>
            <w:shd w:val="clear" w:color="auto" w:fill="auto"/>
            <w:vAlign w:val="center"/>
          </w:tcPr>
          <w:p w14:paraId="5373E6C8">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绩</w:t>
            </w:r>
          </w:p>
          <w:p w14:paraId="736A553C">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效</w:t>
            </w:r>
          </w:p>
          <w:p w14:paraId="15A9C214">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w:t>
            </w:r>
          </w:p>
          <w:p w14:paraId="60788AB7">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标</w:t>
            </w:r>
          </w:p>
        </w:tc>
        <w:tc>
          <w:tcPr>
            <w:tcW w:w="296" w:type="pct"/>
            <w:tcBorders>
              <w:top w:val="nil"/>
              <w:left w:val="nil"/>
              <w:bottom w:val="single" w:color="auto" w:sz="4" w:space="0"/>
              <w:right w:val="single" w:color="auto" w:sz="4" w:space="0"/>
            </w:tcBorders>
            <w:shd w:val="clear" w:color="auto" w:fill="auto"/>
            <w:vAlign w:val="center"/>
          </w:tcPr>
          <w:p w14:paraId="2D273FBC">
            <w:pPr>
              <w:widowControl/>
              <w:spacing w:before="0" w:after="0" w:line="0" w:lineRule="atLeast"/>
              <w:ind w:firstLine="0" w:firstLineChars="0"/>
              <w:jc w:val="center"/>
              <w:rPr>
                <w:rFonts w:ascii="Times New Roman" w:hAnsi="Times New Roman" w:eastAsia="宋体" w:cs="Times New Roman"/>
                <w:b/>
                <w:bCs/>
                <w:color w:val="auto"/>
                <w:kern w:val="0"/>
                <w:sz w:val="13"/>
                <w:szCs w:val="13"/>
                <w:highlight w:val="none"/>
              </w:rPr>
            </w:pPr>
            <w:r>
              <w:rPr>
                <w:rFonts w:ascii="Times New Roman" w:hAnsi="Times New Roman" w:eastAsia="宋体" w:cs="Times New Roman"/>
                <w:b/>
                <w:bCs/>
                <w:color w:val="auto"/>
                <w:kern w:val="0"/>
                <w:sz w:val="13"/>
                <w:szCs w:val="13"/>
                <w:highlight w:val="none"/>
              </w:rPr>
              <w:t>一级</w:t>
            </w:r>
          </w:p>
          <w:p w14:paraId="591F1E8F">
            <w:pPr>
              <w:widowControl/>
              <w:spacing w:before="0" w:after="0" w:line="0" w:lineRule="atLeast"/>
              <w:ind w:firstLine="0" w:firstLineChars="0"/>
              <w:jc w:val="center"/>
              <w:rPr>
                <w:rFonts w:ascii="Times New Roman" w:hAnsi="Times New Roman" w:eastAsia="宋体" w:cs="Times New Roman"/>
                <w:b/>
                <w:bCs/>
                <w:color w:val="auto"/>
                <w:kern w:val="0"/>
                <w:sz w:val="13"/>
                <w:szCs w:val="13"/>
                <w:highlight w:val="none"/>
              </w:rPr>
            </w:pPr>
            <w:r>
              <w:rPr>
                <w:rFonts w:ascii="Times New Roman" w:hAnsi="Times New Roman" w:eastAsia="宋体" w:cs="Times New Roman"/>
                <w:b/>
                <w:bCs/>
                <w:color w:val="auto"/>
                <w:kern w:val="0"/>
                <w:sz w:val="13"/>
                <w:szCs w:val="13"/>
                <w:highlight w:val="none"/>
              </w:rPr>
              <w:t>指标</w:t>
            </w:r>
          </w:p>
        </w:tc>
        <w:tc>
          <w:tcPr>
            <w:tcW w:w="445" w:type="pct"/>
            <w:tcBorders>
              <w:top w:val="nil"/>
              <w:left w:val="nil"/>
              <w:bottom w:val="single" w:color="auto" w:sz="4" w:space="0"/>
              <w:right w:val="single" w:color="auto" w:sz="4" w:space="0"/>
            </w:tcBorders>
            <w:shd w:val="clear" w:color="auto" w:fill="auto"/>
            <w:vAlign w:val="center"/>
          </w:tcPr>
          <w:p w14:paraId="3F9E927B">
            <w:pPr>
              <w:widowControl/>
              <w:spacing w:before="0" w:after="0" w:line="0" w:lineRule="atLeast"/>
              <w:ind w:firstLine="0" w:firstLineChars="0"/>
              <w:jc w:val="center"/>
              <w:rPr>
                <w:rFonts w:ascii="Times New Roman" w:hAnsi="Times New Roman" w:eastAsia="宋体" w:cs="Times New Roman"/>
                <w:b/>
                <w:bCs/>
                <w:color w:val="auto"/>
                <w:kern w:val="0"/>
                <w:sz w:val="13"/>
                <w:szCs w:val="13"/>
                <w:highlight w:val="none"/>
              </w:rPr>
            </w:pPr>
            <w:r>
              <w:rPr>
                <w:rFonts w:ascii="Times New Roman" w:hAnsi="Times New Roman" w:eastAsia="宋体" w:cs="Times New Roman"/>
                <w:b/>
                <w:bCs/>
                <w:color w:val="auto"/>
                <w:kern w:val="0"/>
                <w:sz w:val="13"/>
                <w:szCs w:val="13"/>
                <w:highlight w:val="none"/>
              </w:rPr>
              <w:t>二级指标</w:t>
            </w:r>
          </w:p>
        </w:tc>
        <w:tc>
          <w:tcPr>
            <w:tcW w:w="962" w:type="pct"/>
            <w:tcBorders>
              <w:top w:val="nil"/>
              <w:left w:val="nil"/>
              <w:bottom w:val="single" w:color="auto" w:sz="4" w:space="0"/>
              <w:right w:val="single" w:color="auto" w:sz="4" w:space="0"/>
            </w:tcBorders>
            <w:shd w:val="clear" w:color="auto" w:fill="auto"/>
            <w:vAlign w:val="center"/>
          </w:tcPr>
          <w:p w14:paraId="2CAB25CB">
            <w:pPr>
              <w:widowControl/>
              <w:spacing w:before="0" w:after="0" w:line="0" w:lineRule="atLeast"/>
              <w:ind w:firstLine="0" w:firstLineChars="0"/>
              <w:jc w:val="center"/>
              <w:rPr>
                <w:rFonts w:ascii="Times New Roman" w:hAnsi="Times New Roman" w:eastAsia="宋体" w:cs="Times New Roman"/>
                <w:b/>
                <w:bCs/>
                <w:color w:val="auto"/>
                <w:kern w:val="0"/>
                <w:sz w:val="13"/>
                <w:szCs w:val="13"/>
                <w:highlight w:val="none"/>
              </w:rPr>
            </w:pPr>
            <w:r>
              <w:rPr>
                <w:rFonts w:ascii="Times New Roman" w:hAnsi="Times New Roman" w:eastAsia="宋体" w:cs="Times New Roman"/>
                <w:b/>
                <w:bCs/>
                <w:color w:val="auto"/>
                <w:kern w:val="0"/>
                <w:sz w:val="13"/>
                <w:szCs w:val="13"/>
                <w:highlight w:val="none"/>
              </w:rPr>
              <w:t>三级指标（示例）</w:t>
            </w:r>
          </w:p>
        </w:tc>
        <w:tc>
          <w:tcPr>
            <w:tcW w:w="808" w:type="pct"/>
            <w:tcBorders>
              <w:top w:val="nil"/>
              <w:left w:val="nil"/>
              <w:bottom w:val="single" w:color="auto" w:sz="4" w:space="0"/>
              <w:right w:val="single" w:color="auto" w:sz="4" w:space="0"/>
            </w:tcBorders>
            <w:shd w:val="clear" w:color="auto" w:fill="auto"/>
            <w:vAlign w:val="center"/>
          </w:tcPr>
          <w:p w14:paraId="775737CB">
            <w:pPr>
              <w:widowControl/>
              <w:spacing w:before="0" w:after="0" w:line="0" w:lineRule="atLeast"/>
              <w:ind w:firstLine="0" w:firstLineChars="0"/>
              <w:jc w:val="center"/>
              <w:rPr>
                <w:rFonts w:ascii="Times New Roman" w:hAnsi="Times New Roman" w:eastAsia="宋体" w:cs="Times New Roman"/>
                <w:b/>
                <w:bCs/>
                <w:color w:val="auto"/>
                <w:kern w:val="0"/>
                <w:sz w:val="13"/>
                <w:szCs w:val="13"/>
                <w:highlight w:val="none"/>
              </w:rPr>
            </w:pPr>
            <w:r>
              <w:rPr>
                <w:rFonts w:ascii="Times New Roman" w:hAnsi="Times New Roman" w:eastAsia="宋体" w:cs="Times New Roman"/>
                <w:b/>
                <w:bCs/>
                <w:color w:val="auto"/>
                <w:kern w:val="0"/>
                <w:sz w:val="13"/>
                <w:szCs w:val="13"/>
                <w:highlight w:val="none"/>
              </w:rPr>
              <w:t>指标值（示例）</w:t>
            </w:r>
          </w:p>
        </w:tc>
        <w:tc>
          <w:tcPr>
            <w:tcW w:w="543" w:type="pct"/>
            <w:tcBorders>
              <w:top w:val="nil"/>
              <w:left w:val="nil"/>
              <w:bottom w:val="single" w:color="auto" w:sz="4" w:space="0"/>
              <w:right w:val="single" w:color="auto" w:sz="4" w:space="0"/>
            </w:tcBorders>
            <w:shd w:val="clear" w:color="auto" w:fill="auto"/>
            <w:vAlign w:val="center"/>
          </w:tcPr>
          <w:p w14:paraId="082FEB91">
            <w:pPr>
              <w:widowControl/>
              <w:spacing w:before="0" w:after="0" w:line="0" w:lineRule="atLeast"/>
              <w:ind w:firstLine="0" w:firstLineChars="0"/>
              <w:jc w:val="center"/>
              <w:rPr>
                <w:rFonts w:ascii="Times New Roman" w:hAnsi="Times New Roman" w:eastAsia="宋体" w:cs="Times New Roman"/>
                <w:b/>
                <w:bCs/>
                <w:color w:val="auto"/>
                <w:kern w:val="0"/>
                <w:sz w:val="13"/>
                <w:szCs w:val="13"/>
                <w:highlight w:val="none"/>
              </w:rPr>
            </w:pPr>
            <w:r>
              <w:rPr>
                <w:rFonts w:ascii="Times New Roman" w:hAnsi="Times New Roman" w:eastAsia="宋体" w:cs="Times New Roman"/>
                <w:b/>
                <w:bCs/>
                <w:color w:val="auto"/>
                <w:kern w:val="0"/>
                <w:sz w:val="13"/>
                <w:szCs w:val="13"/>
                <w:highlight w:val="none"/>
              </w:rPr>
              <w:t>二级指标</w:t>
            </w:r>
          </w:p>
        </w:tc>
        <w:tc>
          <w:tcPr>
            <w:tcW w:w="898" w:type="pct"/>
            <w:gridSpan w:val="2"/>
            <w:tcBorders>
              <w:top w:val="single" w:color="auto" w:sz="4" w:space="0"/>
              <w:left w:val="nil"/>
              <w:bottom w:val="single" w:color="auto" w:sz="4" w:space="0"/>
              <w:right w:val="single" w:color="000000" w:sz="4" w:space="0"/>
            </w:tcBorders>
            <w:shd w:val="clear" w:color="auto" w:fill="auto"/>
            <w:vAlign w:val="center"/>
          </w:tcPr>
          <w:p w14:paraId="6B5216AD">
            <w:pPr>
              <w:widowControl/>
              <w:spacing w:before="0" w:after="0" w:line="0" w:lineRule="atLeast"/>
              <w:ind w:firstLine="0" w:firstLineChars="0"/>
              <w:jc w:val="center"/>
              <w:rPr>
                <w:rFonts w:ascii="Times New Roman" w:hAnsi="Times New Roman" w:eastAsia="宋体" w:cs="Times New Roman"/>
                <w:b/>
                <w:bCs/>
                <w:color w:val="auto"/>
                <w:kern w:val="0"/>
                <w:sz w:val="13"/>
                <w:szCs w:val="13"/>
                <w:highlight w:val="none"/>
              </w:rPr>
            </w:pPr>
            <w:r>
              <w:rPr>
                <w:rFonts w:ascii="Times New Roman" w:hAnsi="Times New Roman" w:eastAsia="宋体" w:cs="Times New Roman"/>
                <w:b/>
                <w:bCs/>
                <w:color w:val="auto"/>
                <w:kern w:val="0"/>
                <w:sz w:val="13"/>
                <w:szCs w:val="13"/>
                <w:highlight w:val="none"/>
              </w:rPr>
              <w:t>三级指标（示例）</w:t>
            </w:r>
          </w:p>
        </w:tc>
        <w:tc>
          <w:tcPr>
            <w:tcW w:w="809" w:type="pct"/>
            <w:tcBorders>
              <w:top w:val="nil"/>
              <w:left w:val="nil"/>
              <w:bottom w:val="single" w:color="auto" w:sz="4" w:space="0"/>
              <w:right w:val="single" w:color="auto" w:sz="4" w:space="0"/>
            </w:tcBorders>
            <w:shd w:val="clear" w:color="auto" w:fill="auto"/>
            <w:vAlign w:val="center"/>
          </w:tcPr>
          <w:p w14:paraId="1D618047">
            <w:pPr>
              <w:widowControl/>
              <w:spacing w:before="0" w:after="0" w:line="0" w:lineRule="atLeast"/>
              <w:ind w:firstLine="0" w:firstLineChars="0"/>
              <w:jc w:val="center"/>
              <w:rPr>
                <w:rFonts w:ascii="Times New Roman" w:hAnsi="Times New Roman" w:eastAsia="宋体" w:cs="Times New Roman"/>
                <w:b/>
                <w:bCs/>
                <w:color w:val="auto"/>
                <w:kern w:val="0"/>
                <w:sz w:val="13"/>
                <w:szCs w:val="13"/>
                <w:highlight w:val="none"/>
              </w:rPr>
            </w:pPr>
            <w:r>
              <w:rPr>
                <w:rFonts w:ascii="Times New Roman" w:hAnsi="Times New Roman" w:eastAsia="宋体" w:cs="Times New Roman"/>
                <w:b/>
                <w:bCs/>
                <w:color w:val="auto"/>
                <w:kern w:val="0"/>
                <w:sz w:val="13"/>
                <w:szCs w:val="13"/>
                <w:highlight w:val="none"/>
              </w:rPr>
              <w:t>指标值（示例）</w:t>
            </w:r>
          </w:p>
        </w:tc>
      </w:tr>
      <w:tr w14:paraId="736814AF">
        <w:tblPrEx>
          <w:tblCellMar>
            <w:top w:w="0" w:type="dxa"/>
            <w:left w:w="108" w:type="dxa"/>
            <w:bottom w:w="0" w:type="dxa"/>
            <w:right w:w="108" w:type="dxa"/>
          </w:tblCellMar>
        </w:tblPrEx>
        <w:trPr>
          <w:trHeight w:val="1044" w:hRule="atLeast"/>
        </w:trPr>
        <w:tc>
          <w:tcPr>
            <w:tcW w:w="235" w:type="pct"/>
            <w:vMerge w:val="continue"/>
            <w:tcBorders>
              <w:top w:val="nil"/>
              <w:left w:val="single" w:color="auto" w:sz="4" w:space="0"/>
              <w:bottom w:val="single" w:color="auto" w:sz="4" w:space="0"/>
              <w:right w:val="single" w:color="auto" w:sz="4" w:space="0"/>
            </w:tcBorders>
            <w:vAlign w:val="center"/>
          </w:tcPr>
          <w:p w14:paraId="4E15F322">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296"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739358E9">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产</w:t>
            </w:r>
          </w:p>
          <w:p w14:paraId="2D945B14">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出</w:t>
            </w:r>
          </w:p>
          <w:p w14:paraId="61DE4524">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w:t>
            </w:r>
          </w:p>
          <w:p w14:paraId="6084B044">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标</w:t>
            </w:r>
          </w:p>
        </w:tc>
        <w:tc>
          <w:tcPr>
            <w:tcW w:w="445"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2BC6B7E0">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数量指标</w:t>
            </w:r>
          </w:p>
        </w:tc>
        <w:tc>
          <w:tcPr>
            <w:tcW w:w="962" w:type="pct"/>
            <w:tcBorders>
              <w:top w:val="single" w:color="auto" w:sz="4" w:space="0"/>
              <w:left w:val="single" w:color="auto" w:sz="4" w:space="0"/>
              <w:bottom w:val="single" w:color="auto" w:sz="4" w:space="0"/>
              <w:right w:val="single" w:color="auto" w:sz="4" w:space="0"/>
            </w:tcBorders>
            <w:shd w:val="clear" w:color="auto" w:fill="auto"/>
            <w:vAlign w:val="center"/>
          </w:tcPr>
          <w:p w14:paraId="66A50D00">
            <w:pPr>
              <w:widowControl/>
              <w:spacing w:before="0" w:after="0" w:line="0" w:lineRule="atLeast"/>
              <w:ind w:firstLine="0" w:firstLineChars="0"/>
              <w:jc w:val="left"/>
              <w:rPr>
                <w:rFonts w:hint="default" w:ascii="Times New Roman" w:hAnsi="Times New Roman" w:eastAsia="宋体" w:cs="Times New Roman"/>
                <w:color w:val="auto"/>
                <w:kern w:val="0"/>
                <w:sz w:val="13"/>
                <w:szCs w:val="13"/>
                <w:highlight w:val="none"/>
                <w:lang w:val="en-US" w:eastAsia="zh-CN"/>
              </w:rPr>
            </w:pPr>
            <w:r>
              <w:rPr>
                <w:rFonts w:ascii="Times New Roman" w:hAnsi="Times New Roman" w:eastAsia="宋体" w:cs="Times New Roman"/>
                <w:color w:val="auto"/>
                <w:kern w:val="0"/>
                <w:sz w:val="13"/>
                <w:szCs w:val="13"/>
                <w:highlight w:val="none"/>
              </w:rPr>
              <w:t>指标1：</w:t>
            </w:r>
            <w:r>
              <w:rPr>
                <w:rFonts w:hint="eastAsia" w:ascii="Times New Roman" w:hAnsi="Times New Roman" w:eastAsia="宋体" w:cs="Times New Roman"/>
                <w:color w:val="auto"/>
                <w:kern w:val="0"/>
                <w:sz w:val="13"/>
                <w:szCs w:val="13"/>
                <w:highlight w:val="none"/>
                <w:lang w:val="en-US" w:eastAsia="zh-CN"/>
              </w:rPr>
              <w:t>路灯系统</w:t>
            </w:r>
          </w:p>
        </w:tc>
        <w:tc>
          <w:tcPr>
            <w:tcW w:w="808" w:type="pct"/>
            <w:tcBorders>
              <w:top w:val="single" w:color="auto" w:sz="4" w:space="0"/>
              <w:left w:val="single" w:color="auto" w:sz="4" w:space="0"/>
              <w:bottom w:val="single" w:color="auto" w:sz="4" w:space="0"/>
              <w:right w:val="single" w:color="auto" w:sz="4" w:space="0"/>
            </w:tcBorders>
            <w:shd w:val="clear" w:color="auto" w:fill="auto"/>
            <w:vAlign w:val="center"/>
          </w:tcPr>
          <w:p w14:paraId="7B3FB626">
            <w:pPr>
              <w:widowControl/>
              <w:spacing w:before="0" w:after="0" w:line="0" w:lineRule="atLeast"/>
              <w:ind w:firstLine="0" w:firstLineChars="0"/>
              <w:jc w:val="center"/>
              <w:rPr>
                <w:rFonts w:hint="default" w:ascii="Times New Roman" w:hAnsi="Times New Roman" w:eastAsia="宋体" w:cs="Times New Roman"/>
                <w:color w:val="auto"/>
                <w:kern w:val="0"/>
                <w:sz w:val="13"/>
                <w:szCs w:val="13"/>
                <w:highlight w:val="none"/>
                <w:lang w:val="en-US"/>
              </w:rPr>
            </w:pPr>
            <w:r>
              <w:rPr>
                <w:rFonts w:hint="eastAsia" w:ascii="Times New Roman" w:hAnsi="Times New Roman" w:eastAsia="宋体" w:cs="Times New Roman"/>
                <w:color w:val="auto"/>
                <w:kern w:val="0"/>
                <w:sz w:val="13"/>
                <w:szCs w:val="13"/>
                <w:highlight w:val="none"/>
                <w:lang w:val="en-US" w:eastAsia="zh-CN"/>
              </w:rPr>
              <w:t>273套</w:t>
            </w:r>
          </w:p>
        </w:tc>
        <w:tc>
          <w:tcPr>
            <w:tcW w:w="543"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5810EC97">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数量指标</w:t>
            </w:r>
          </w:p>
        </w:tc>
        <w:tc>
          <w:tcPr>
            <w:tcW w:w="898" w:type="pct"/>
            <w:gridSpan w:val="2"/>
            <w:tcBorders>
              <w:top w:val="single" w:color="auto" w:sz="4" w:space="0"/>
              <w:left w:val="single" w:color="auto" w:sz="4" w:space="0"/>
              <w:bottom w:val="single" w:color="auto" w:sz="4" w:space="0"/>
              <w:right w:val="single" w:color="auto" w:sz="4" w:space="0"/>
            </w:tcBorders>
            <w:shd w:val="clear" w:color="auto" w:fill="auto"/>
            <w:vAlign w:val="center"/>
          </w:tcPr>
          <w:p w14:paraId="528ACDBB">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指标1：</w:t>
            </w:r>
            <w:r>
              <w:rPr>
                <w:rFonts w:hint="eastAsia" w:ascii="Times New Roman" w:hAnsi="Times New Roman" w:eastAsia="宋体" w:cs="Times New Roman"/>
                <w:color w:val="auto"/>
                <w:kern w:val="0"/>
                <w:sz w:val="13"/>
                <w:szCs w:val="13"/>
                <w:highlight w:val="none"/>
                <w:lang w:val="en-US" w:eastAsia="zh-CN"/>
              </w:rPr>
              <w:t>路灯系统</w:t>
            </w:r>
          </w:p>
        </w:tc>
        <w:tc>
          <w:tcPr>
            <w:tcW w:w="809" w:type="pct"/>
            <w:tcBorders>
              <w:top w:val="nil"/>
              <w:left w:val="single" w:color="auto" w:sz="4" w:space="0"/>
              <w:bottom w:val="single" w:color="auto" w:sz="4" w:space="0"/>
              <w:right w:val="single" w:color="auto" w:sz="4" w:space="0"/>
            </w:tcBorders>
            <w:shd w:val="clear" w:color="auto" w:fill="auto"/>
            <w:vAlign w:val="center"/>
          </w:tcPr>
          <w:p w14:paraId="06F4B910">
            <w:pPr>
              <w:widowControl/>
              <w:spacing w:before="0" w:after="0" w:line="0" w:lineRule="atLeast"/>
              <w:ind w:firstLine="0" w:firstLineChars="0"/>
              <w:jc w:val="center"/>
              <w:rPr>
                <w:rFonts w:hint="default" w:ascii="Times New Roman" w:hAnsi="Times New Roman" w:eastAsia="宋体" w:cs="Times New Roman"/>
                <w:color w:val="auto"/>
                <w:kern w:val="0"/>
                <w:sz w:val="13"/>
                <w:szCs w:val="13"/>
                <w:highlight w:val="none"/>
                <w:lang w:val="en-US"/>
              </w:rPr>
            </w:pPr>
            <w:r>
              <w:rPr>
                <w:rFonts w:hint="eastAsia" w:ascii="Times New Roman" w:hAnsi="Times New Roman" w:eastAsia="宋体" w:cs="Times New Roman"/>
                <w:color w:val="auto"/>
                <w:kern w:val="0"/>
                <w:sz w:val="13"/>
                <w:szCs w:val="13"/>
                <w:highlight w:val="none"/>
                <w:lang w:val="en-US" w:eastAsia="zh-CN"/>
              </w:rPr>
              <w:t>90套</w:t>
            </w:r>
          </w:p>
        </w:tc>
      </w:tr>
      <w:tr w14:paraId="7E1300CF">
        <w:tblPrEx>
          <w:tblCellMar>
            <w:top w:w="0" w:type="dxa"/>
            <w:left w:w="108" w:type="dxa"/>
            <w:bottom w:w="0" w:type="dxa"/>
            <w:right w:w="108" w:type="dxa"/>
          </w:tblCellMar>
        </w:tblPrEx>
        <w:trPr>
          <w:trHeight w:val="696" w:hRule="atLeast"/>
        </w:trPr>
        <w:tc>
          <w:tcPr>
            <w:tcW w:w="235" w:type="pct"/>
            <w:vMerge w:val="continue"/>
            <w:tcBorders>
              <w:top w:val="nil"/>
              <w:left w:val="single" w:color="auto" w:sz="4" w:space="0"/>
              <w:bottom w:val="single" w:color="auto" w:sz="4" w:space="0"/>
              <w:right w:val="single" w:color="auto" w:sz="4" w:space="0"/>
            </w:tcBorders>
            <w:vAlign w:val="center"/>
          </w:tcPr>
          <w:p w14:paraId="14D456F7">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296" w:type="pct"/>
            <w:vMerge w:val="continue"/>
            <w:tcBorders>
              <w:top w:val="single" w:color="auto" w:sz="4" w:space="0"/>
              <w:left w:val="single" w:color="auto" w:sz="4" w:space="0"/>
              <w:bottom w:val="single" w:color="auto" w:sz="4" w:space="0"/>
              <w:right w:val="single" w:color="auto" w:sz="4" w:space="0"/>
            </w:tcBorders>
            <w:vAlign w:val="center"/>
          </w:tcPr>
          <w:p w14:paraId="0D31FDD2">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445" w:type="pct"/>
            <w:vMerge w:val="continue"/>
            <w:tcBorders>
              <w:top w:val="single" w:color="auto" w:sz="4" w:space="0"/>
              <w:left w:val="single" w:color="auto" w:sz="4" w:space="0"/>
              <w:bottom w:val="nil"/>
              <w:right w:val="single" w:color="auto" w:sz="4" w:space="0"/>
            </w:tcBorders>
            <w:vAlign w:val="center"/>
          </w:tcPr>
          <w:p w14:paraId="06BEBF3A">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962" w:type="pct"/>
            <w:tcBorders>
              <w:top w:val="single" w:color="auto" w:sz="4" w:space="0"/>
              <w:left w:val="nil"/>
              <w:bottom w:val="single" w:color="auto" w:sz="4" w:space="0"/>
              <w:right w:val="single" w:color="auto" w:sz="4" w:space="0"/>
            </w:tcBorders>
            <w:shd w:val="clear" w:color="auto" w:fill="auto"/>
            <w:vAlign w:val="center"/>
          </w:tcPr>
          <w:p w14:paraId="47E01DAC">
            <w:pPr>
              <w:widowControl/>
              <w:spacing w:before="0" w:after="0" w:line="0" w:lineRule="atLeast"/>
              <w:ind w:firstLine="0" w:firstLineChars="0"/>
              <w:jc w:val="left"/>
              <w:rPr>
                <w:rFonts w:hint="default" w:ascii="Times New Roman" w:hAnsi="Times New Roman" w:eastAsia="宋体" w:cs="Times New Roman"/>
                <w:color w:val="auto"/>
                <w:kern w:val="0"/>
                <w:sz w:val="13"/>
                <w:szCs w:val="13"/>
                <w:highlight w:val="none"/>
                <w:lang w:val="en-US" w:eastAsia="zh-CN"/>
              </w:rPr>
            </w:pPr>
            <w:r>
              <w:rPr>
                <w:rFonts w:ascii="Times New Roman" w:hAnsi="Times New Roman" w:eastAsia="宋体" w:cs="Times New Roman"/>
                <w:color w:val="auto"/>
                <w:kern w:val="0"/>
                <w:sz w:val="13"/>
                <w:szCs w:val="13"/>
                <w:highlight w:val="none"/>
              </w:rPr>
              <w:t>指标2：</w:t>
            </w:r>
            <w:r>
              <w:rPr>
                <w:rFonts w:hint="eastAsia" w:ascii="Times New Roman" w:hAnsi="Times New Roman" w:eastAsia="宋体" w:cs="Times New Roman"/>
                <w:color w:val="auto"/>
                <w:kern w:val="0"/>
                <w:sz w:val="13"/>
                <w:szCs w:val="13"/>
                <w:highlight w:val="none"/>
                <w:lang w:val="en-US" w:eastAsia="zh-CN"/>
              </w:rPr>
              <w:t>新建雨污管网</w:t>
            </w:r>
          </w:p>
        </w:tc>
        <w:tc>
          <w:tcPr>
            <w:tcW w:w="808" w:type="pct"/>
            <w:tcBorders>
              <w:top w:val="single" w:color="auto" w:sz="4" w:space="0"/>
              <w:left w:val="nil"/>
              <w:bottom w:val="single" w:color="auto" w:sz="4" w:space="0"/>
              <w:right w:val="single" w:color="auto" w:sz="4" w:space="0"/>
            </w:tcBorders>
            <w:shd w:val="clear" w:color="auto" w:fill="auto"/>
            <w:vAlign w:val="center"/>
          </w:tcPr>
          <w:p w14:paraId="03170748">
            <w:pPr>
              <w:widowControl/>
              <w:spacing w:before="0" w:after="0" w:line="0" w:lineRule="atLeast"/>
              <w:ind w:firstLine="0" w:firstLineChars="0"/>
              <w:jc w:val="center"/>
              <w:rPr>
                <w:rFonts w:hint="default" w:ascii="Times New Roman" w:hAnsi="Times New Roman" w:eastAsia="宋体" w:cs="Times New Roman"/>
                <w:color w:val="auto"/>
                <w:kern w:val="0"/>
                <w:sz w:val="13"/>
                <w:szCs w:val="13"/>
                <w:highlight w:val="none"/>
                <w:lang w:val="en-US"/>
              </w:rPr>
            </w:pPr>
            <w:r>
              <w:rPr>
                <w:rFonts w:hint="eastAsia" w:ascii="Times New Roman" w:hAnsi="Times New Roman" w:eastAsia="宋体" w:cs="Times New Roman"/>
                <w:color w:val="auto"/>
                <w:kern w:val="0"/>
                <w:sz w:val="13"/>
                <w:szCs w:val="13"/>
                <w:highlight w:val="none"/>
                <w:lang w:val="en-US" w:eastAsia="zh-CN"/>
              </w:rPr>
              <w:t>18.3km</w:t>
            </w:r>
          </w:p>
        </w:tc>
        <w:tc>
          <w:tcPr>
            <w:tcW w:w="543" w:type="pct"/>
            <w:vMerge w:val="continue"/>
            <w:tcBorders>
              <w:top w:val="single" w:color="auto" w:sz="4" w:space="0"/>
              <w:left w:val="single" w:color="auto" w:sz="4" w:space="0"/>
              <w:bottom w:val="nil"/>
              <w:right w:val="single" w:color="auto" w:sz="4" w:space="0"/>
            </w:tcBorders>
            <w:vAlign w:val="center"/>
          </w:tcPr>
          <w:p w14:paraId="26FAFA13">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898" w:type="pct"/>
            <w:gridSpan w:val="2"/>
            <w:tcBorders>
              <w:top w:val="single" w:color="auto" w:sz="4" w:space="0"/>
              <w:left w:val="nil"/>
              <w:bottom w:val="single" w:color="auto" w:sz="4" w:space="0"/>
              <w:right w:val="single" w:color="000000" w:sz="4" w:space="0"/>
            </w:tcBorders>
            <w:shd w:val="clear" w:color="auto" w:fill="auto"/>
            <w:vAlign w:val="center"/>
          </w:tcPr>
          <w:p w14:paraId="75826C84">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指标2：</w:t>
            </w:r>
            <w:r>
              <w:rPr>
                <w:rFonts w:hint="eastAsia" w:ascii="Times New Roman" w:hAnsi="Times New Roman" w:eastAsia="宋体" w:cs="Times New Roman"/>
                <w:color w:val="auto"/>
                <w:kern w:val="0"/>
                <w:sz w:val="13"/>
                <w:szCs w:val="13"/>
                <w:highlight w:val="none"/>
                <w:lang w:val="en-US" w:eastAsia="zh-CN"/>
              </w:rPr>
              <w:t>新建雨污管网</w:t>
            </w:r>
          </w:p>
        </w:tc>
        <w:tc>
          <w:tcPr>
            <w:tcW w:w="809" w:type="pct"/>
            <w:tcBorders>
              <w:top w:val="nil"/>
              <w:left w:val="nil"/>
              <w:bottom w:val="single" w:color="auto" w:sz="4" w:space="0"/>
              <w:right w:val="single" w:color="auto" w:sz="4" w:space="0"/>
            </w:tcBorders>
            <w:shd w:val="clear" w:color="auto" w:fill="auto"/>
            <w:vAlign w:val="center"/>
          </w:tcPr>
          <w:p w14:paraId="41529931">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hint="eastAsia" w:ascii="Times New Roman" w:hAnsi="Times New Roman" w:eastAsia="宋体" w:cs="Times New Roman"/>
                <w:color w:val="auto"/>
                <w:kern w:val="0"/>
                <w:sz w:val="13"/>
                <w:szCs w:val="13"/>
                <w:highlight w:val="none"/>
                <w:lang w:val="en-US" w:eastAsia="zh-CN"/>
              </w:rPr>
              <w:t>6km</w:t>
            </w:r>
          </w:p>
        </w:tc>
      </w:tr>
      <w:tr w14:paraId="174568F5">
        <w:tblPrEx>
          <w:tblCellMar>
            <w:top w:w="0" w:type="dxa"/>
            <w:left w:w="108" w:type="dxa"/>
            <w:bottom w:w="0" w:type="dxa"/>
            <w:right w:w="108" w:type="dxa"/>
          </w:tblCellMar>
        </w:tblPrEx>
        <w:trPr>
          <w:trHeight w:val="696" w:hRule="atLeast"/>
        </w:trPr>
        <w:tc>
          <w:tcPr>
            <w:tcW w:w="235" w:type="pct"/>
            <w:vMerge w:val="continue"/>
            <w:tcBorders>
              <w:top w:val="nil"/>
              <w:left w:val="single" w:color="auto" w:sz="4" w:space="0"/>
              <w:bottom w:val="single" w:color="auto" w:sz="4" w:space="0"/>
              <w:right w:val="single" w:color="auto" w:sz="4" w:space="0"/>
            </w:tcBorders>
            <w:vAlign w:val="center"/>
          </w:tcPr>
          <w:p w14:paraId="251A24A6">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296" w:type="pct"/>
            <w:vMerge w:val="continue"/>
            <w:tcBorders>
              <w:top w:val="single" w:color="auto" w:sz="4" w:space="0"/>
              <w:left w:val="single" w:color="auto" w:sz="4" w:space="0"/>
              <w:bottom w:val="single" w:color="auto" w:sz="4" w:space="0"/>
              <w:right w:val="single" w:color="auto" w:sz="4" w:space="0"/>
            </w:tcBorders>
            <w:vAlign w:val="center"/>
          </w:tcPr>
          <w:p w14:paraId="308AC491">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445"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7A4746E6">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质量指标</w:t>
            </w:r>
          </w:p>
        </w:tc>
        <w:tc>
          <w:tcPr>
            <w:tcW w:w="962" w:type="pct"/>
            <w:tcBorders>
              <w:top w:val="nil"/>
              <w:left w:val="nil"/>
              <w:bottom w:val="single" w:color="auto" w:sz="4" w:space="0"/>
              <w:right w:val="single" w:color="auto" w:sz="4" w:space="0"/>
            </w:tcBorders>
            <w:shd w:val="clear" w:color="auto" w:fill="auto"/>
            <w:vAlign w:val="center"/>
          </w:tcPr>
          <w:p w14:paraId="1409C892">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指标1：项目竣工验收达标率</w:t>
            </w:r>
          </w:p>
        </w:tc>
        <w:tc>
          <w:tcPr>
            <w:tcW w:w="808" w:type="pct"/>
            <w:tcBorders>
              <w:top w:val="nil"/>
              <w:left w:val="nil"/>
              <w:bottom w:val="single" w:color="auto" w:sz="4" w:space="0"/>
              <w:right w:val="single" w:color="auto" w:sz="4" w:space="0"/>
            </w:tcBorders>
            <w:shd w:val="clear" w:color="auto" w:fill="auto"/>
            <w:vAlign w:val="center"/>
          </w:tcPr>
          <w:p w14:paraId="0728BE0D">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≥95%</w:t>
            </w:r>
          </w:p>
        </w:tc>
        <w:tc>
          <w:tcPr>
            <w:tcW w:w="543"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24A0AB35">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质量指标</w:t>
            </w:r>
          </w:p>
        </w:tc>
        <w:tc>
          <w:tcPr>
            <w:tcW w:w="898" w:type="pct"/>
            <w:gridSpan w:val="2"/>
            <w:tcBorders>
              <w:top w:val="single" w:color="auto" w:sz="4" w:space="0"/>
              <w:left w:val="nil"/>
              <w:bottom w:val="single" w:color="auto" w:sz="4" w:space="0"/>
              <w:right w:val="single" w:color="000000" w:sz="4" w:space="0"/>
            </w:tcBorders>
            <w:shd w:val="clear" w:color="auto" w:fill="auto"/>
            <w:vAlign w:val="center"/>
          </w:tcPr>
          <w:p w14:paraId="0A2C0227">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指标1：项目竣工验收达标率</w:t>
            </w:r>
          </w:p>
        </w:tc>
        <w:tc>
          <w:tcPr>
            <w:tcW w:w="809" w:type="pct"/>
            <w:tcBorders>
              <w:top w:val="nil"/>
              <w:left w:val="nil"/>
              <w:bottom w:val="single" w:color="auto" w:sz="4" w:space="0"/>
              <w:right w:val="single" w:color="auto" w:sz="4" w:space="0"/>
            </w:tcBorders>
            <w:shd w:val="clear" w:color="auto" w:fill="auto"/>
            <w:vAlign w:val="center"/>
          </w:tcPr>
          <w:p w14:paraId="7C1AE55B">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≥95%</w:t>
            </w:r>
          </w:p>
        </w:tc>
      </w:tr>
      <w:tr w14:paraId="6EB94408">
        <w:tblPrEx>
          <w:tblCellMar>
            <w:top w:w="0" w:type="dxa"/>
            <w:left w:w="108" w:type="dxa"/>
            <w:bottom w:w="0" w:type="dxa"/>
            <w:right w:w="108" w:type="dxa"/>
          </w:tblCellMar>
        </w:tblPrEx>
        <w:trPr>
          <w:trHeight w:val="696" w:hRule="atLeast"/>
        </w:trPr>
        <w:tc>
          <w:tcPr>
            <w:tcW w:w="235" w:type="pct"/>
            <w:vMerge w:val="continue"/>
            <w:tcBorders>
              <w:top w:val="nil"/>
              <w:left w:val="single" w:color="auto" w:sz="4" w:space="0"/>
              <w:bottom w:val="single" w:color="auto" w:sz="4" w:space="0"/>
              <w:right w:val="single" w:color="auto" w:sz="4" w:space="0"/>
            </w:tcBorders>
            <w:vAlign w:val="center"/>
          </w:tcPr>
          <w:p w14:paraId="79EE9234">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296" w:type="pct"/>
            <w:vMerge w:val="continue"/>
            <w:tcBorders>
              <w:top w:val="single" w:color="auto" w:sz="4" w:space="0"/>
              <w:left w:val="single" w:color="auto" w:sz="4" w:space="0"/>
              <w:bottom w:val="single" w:color="auto" w:sz="4" w:space="0"/>
              <w:right w:val="single" w:color="auto" w:sz="4" w:space="0"/>
            </w:tcBorders>
            <w:vAlign w:val="center"/>
          </w:tcPr>
          <w:p w14:paraId="3F406645">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445" w:type="pct"/>
            <w:vMerge w:val="continue"/>
            <w:tcBorders>
              <w:top w:val="single" w:color="auto" w:sz="4" w:space="0"/>
              <w:left w:val="single" w:color="auto" w:sz="4" w:space="0"/>
              <w:bottom w:val="nil"/>
              <w:right w:val="single" w:color="auto" w:sz="4" w:space="0"/>
            </w:tcBorders>
            <w:vAlign w:val="center"/>
          </w:tcPr>
          <w:p w14:paraId="2C687540">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962" w:type="pct"/>
            <w:tcBorders>
              <w:top w:val="single" w:color="auto" w:sz="4" w:space="0"/>
              <w:left w:val="nil"/>
              <w:bottom w:val="single" w:color="auto" w:sz="4" w:space="0"/>
              <w:right w:val="single" w:color="auto" w:sz="4" w:space="0"/>
            </w:tcBorders>
            <w:shd w:val="clear" w:color="auto" w:fill="auto"/>
            <w:vAlign w:val="center"/>
          </w:tcPr>
          <w:p w14:paraId="19926D92">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指标2：项目设计方案变更率</w:t>
            </w:r>
          </w:p>
        </w:tc>
        <w:tc>
          <w:tcPr>
            <w:tcW w:w="808" w:type="pct"/>
            <w:tcBorders>
              <w:top w:val="single" w:color="auto" w:sz="4" w:space="0"/>
              <w:left w:val="nil"/>
              <w:bottom w:val="single" w:color="auto" w:sz="4" w:space="0"/>
              <w:right w:val="single" w:color="auto" w:sz="4" w:space="0"/>
            </w:tcBorders>
            <w:shd w:val="clear" w:color="auto" w:fill="auto"/>
            <w:vAlign w:val="center"/>
          </w:tcPr>
          <w:p w14:paraId="533ADEDD">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≤5%</w:t>
            </w:r>
          </w:p>
        </w:tc>
        <w:tc>
          <w:tcPr>
            <w:tcW w:w="543" w:type="pct"/>
            <w:vMerge w:val="continue"/>
            <w:tcBorders>
              <w:top w:val="single" w:color="auto" w:sz="4" w:space="0"/>
              <w:left w:val="single" w:color="auto" w:sz="4" w:space="0"/>
              <w:bottom w:val="single" w:color="auto" w:sz="4" w:space="0"/>
              <w:right w:val="single" w:color="auto" w:sz="4" w:space="0"/>
            </w:tcBorders>
            <w:vAlign w:val="center"/>
          </w:tcPr>
          <w:p w14:paraId="45357917">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898" w:type="pct"/>
            <w:gridSpan w:val="2"/>
            <w:tcBorders>
              <w:top w:val="single" w:color="auto" w:sz="4" w:space="0"/>
              <w:left w:val="nil"/>
              <w:bottom w:val="single" w:color="auto" w:sz="4" w:space="0"/>
              <w:right w:val="single" w:color="000000" w:sz="4" w:space="0"/>
            </w:tcBorders>
            <w:shd w:val="clear" w:color="auto" w:fill="auto"/>
            <w:vAlign w:val="center"/>
          </w:tcPr>
          <w:p w14:paraId="184304D0">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指标2：项目设计方案变更率</w:t>
            </w:r>
          </w:p>
        </w:tc>
        <w:tc>
          <w:tcPr>
            <w:tcW w:w="809" w:type="pct"/>
            <w:tcBorders>
              <w:top w:val="single" w:color="auto" w:sz="4" w:space="0"/>
              <w:left w:val="nil"/>
              <w:bottom w:val="single" w:color="auto" w:sz="4" w:space="0"/>
              <w:right w:val="single" w:color="auto" w:sz="4" w:space="0"/>
            </w:tcBorders>
            <w:shd w:val="clear" w:color="auto" w:fill="auto"/>
            <w:vAlign w:val="center"/>
          </w:tcPr>
          <w:p w14:paraId="4B032BF4">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≤5%</w:t>
            </w:r>
          </w:p>
        </w:tc>
      </w:tr>
      <w:tr w14:paraId="5AAA81D0">
        <w:tblPrEx>
          <w:tblCellMar>
            <w:top w:w="0" w:type="dxa"/>
            <w:left w:w="108" w:type="dxa"/>
            <w:bottom w:w="0" w:type="dxa"/>
            <w:right w:w="108" w:type="dxa"/>
          </w:tblCellMar>
        </w:tblPrEx>
        <w:trPr>
          <w:trHeight w:val="696" w:hRule="atLeast"/>
        </w:trPr>
        <w:tc>
          <w:tcPr>
            <w:tcW w:w="235" w:type="pct"/>
            <w:vMerge w:val="continue"/>
            <w:tcBorders>
              <w:top w:val="nil"/>
              <w:left w:val="single" w:color="auto" w:sz="4" w:space="0"/>
              <w:bottom w:val="single" w:color="auto" w:sz="4" w:space="0"/>
              <w:right w:val="single" w:color="auto" w:sz="4" w:space="0"/>
            </w:tcBorders>
            <w:vAlign w:val="center"/>
          </w:tcPr>
          <w:p w14:paraId="36B3431E">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296" w:type="pct"/>
            <w:vMerge w:val="continue"/>
            <w:tcBorders>
              <w:top w:val="single" w:color="auto" w:sz="4" w:space="0"/>
              <w:left w:val="single" w:color="auto" w:sz="4" w:space="0"/>
              <w:bottom w:val="single" w:color="auto" w:sz="4" w:space="0"/>
              <w:right w:val="single" w:color="auto" w:sz="4" w:space="0"/>
            </w:tcBorders>
            <w:vAlign w:val="center"/>
          </w:tcPr>
          <w:p w14:paraId="014FEF87">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445" w:type="pct"/>
            <w:vMerge w:val="restart"/>
            <w:tcBorders>
              <w:top w:val="single" w:color="auto" w:sz="4" w:space="0"/>
              <w:left w:val="single" w:color="auto" w:sz="4" w:space="0"/>
              <w:bottom w:val="nil"/>
              <w:right w:val="single" w:color="auto" w:sz="4" w:space="0"/>
            </w:tcBorders>
            <w:shd w:val="clear" w:color="auto" w:fill="auto"/>
            <w:vAlign w:val="center"/>
          </w:tcPr>
          <w:p w14:paraId="7765DF65">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时效指标</w:t>
            </w:r>
          </w:p>
        </w:tc>
        <w:tc>
          <w:tcPr>
            <w:tcW w:w="962" w:type="pct"/>
            <w:tcBorders>
              <w:top w:val="single" w:color="auto" w:sz="4" w:space="0"/>
              <w:left w:val="nil"/>
              <w:bottom w:val="single" w:color="auto" w:sz="4" w:space="0"/>
              <w:right w:val="single" w:color="auto" w:sz="4" w:space="0"/>
            </w:tcBorders>
            <w:shd w:val="clear" w:color="auto" w:fill="auto"/>
            <w:vAlign w:val="center"/>
          </w:tcPr>
          <w:p w14:paraId="3D79A8F5">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指标1：按时取得项目开工许可证</w:t>
            </w:r>
          </w:p>
        </w:tc>
        <w:tc>
          <w:tcPr>
            <w:tcW w:w="808" w:type="pct"/>
            <w:tcBorders>
              <w:top w:val="single" w:color="auto" w:sz="4" w:space="0"/>
              <w:left w:val="nil"/>
              <w:bottom w:val="single" w:color="auto" w:sz="4" w:space="0"/>
              <w:right w:val="single" w:color="auto" w:sz="4" w:space="0"/>
            </w:tcBorders>
            <w:shd w:val="clear" w:color="auto" w:fill="auto"/>
            <w:vAlign w:val="center"/>
          </w:tcPr>
          <w:p w14:paraId="672A58FC">
            <w:pPr>
              <w:widowControl/>
              <w:spacing w:before="0" w:after="0" w:line="0" w:lineRule="atLeast"/>
              <w:ind w:firstLine="0" w:firstLineChars="0"/>
              <w:jc w:val="center"/>
              <w:rPr>
                <w:rFonts w:hint="default" w:ascii="Times New Roman" w:hAnsi="Times New Roman" w:eastAsia="宋体" w:cs="Times New Roman"/>
                <w:color w:val="auto"/>
                <w:kern w:val="0"/>
                <w:sz w:val="13"/>
                <w:szCs w:val="13"/>
                <w:highlight w:val="none"/>
                <w:lang w:val="en-US" w:eastAsia="zh-CN"/>
              </w:rPr>
            </w:pPr>
            <w:r>
              <w:rPr>
                <w:rFonts w:ascii="Times New Roman" w:hAnsi="Times New Roman" w:eastAsia="宋体" w:cs="Times New Roman"/>
                <w:color w:val="auto"/>
                <w:kern w:val="0"/>
                <w:sz w:val="13"/>
                <w:szCs w:val="13"/>
                <w:highlight w:val="none"/>
              </w:rPr>
              <w:t>202</w:t>
            </w:r>
            <w:r>
              <w:rPr>
                <w:rFonts w:hint="eastAsia" w:ascii="Times New Roman" w:hAnsi="Times New Roman" w:eastAsia="宋体" w:cs="Times New Roman"/>
                <w:color w:val="auto"/>
                <w:kern w:val="0"/>
                <w:sz w:val="13"/>
                <w:szCs w:val="13"/>
                <w:highlight w:val="none"/>
                <w:lang w:val="en-US" w:eastAsia="zh-CN"/>
              </w:rPr>
              <w:t>5</w:t>
            </w:r>
            <w:r>
              <w:rPr>
                <w:rFonts w:ascii="Times New Roman" w:hAnsi="Times New Roman" w:eastAsia="宋体" w:cs="Times New Roman"/>
                <w:color w:val="auto"/>
                <w:kern w:val="0"/>
                <w:sz w:val="13"/>
                <w:szCs w:val="13"/>
                <w:highlight w:val="none"/>
              </w:rPr>
              <w:t>年</w:t>
            </w:r>
            <w:r>
              <w:rPr>
                <w:rFonts w:hint="eastAsia" w:ascii="Times New Roman" w:hAnsi="Times New Roman" w:eastAsia="宋体" w:cs="Times New Roman"/>
                <w:color w:val="auto"/>
                <w:kern w:val="0"/>
                <w:sz w:val="13"/>
                <w:szCs w:val="13"/>
                <w:highlight w:val="none"/>
                <w:lang w:val="en-US" w:eastAsia="zh-CN"/>
              </w:rPr>
              <w:t>4</w:t>
            </w:r>
            <w:r>
              <w:rPr>
                <w:rFonts w:ascii="Times New Roman" w:hAnsi="Times New Roman" w:eastAsia="宋体" w:cs="Times New Roman"/>
                <w:color w:val="auto"/>
                <w:kern w:val="0"/>
                <w:sz w:val="13"/>
                <w:szCs w:val="13"/>
                <w:highlight w:val="none"/>
              </w:rPr>
              <w:t>月</w:t>
            </w:r>
            <w:r>
              <w:rPr>
                <w:rFonts w:hint="eastAsia" w:ascii="Times New Roman" w:hAnsi="Times New Roman" w:eastAsia="宋体" w:cs="Times New Roman"/>
                <w:color w:val="auto"/>
                <w:kern w:val="0"/>
                <w:sz w:val="13"/>
                <w:szCs w:val="13"/>
                <w:highlight w:val="none"/>
                <w:lang w:val="en-US" w:eastAsia="zh-CN"/>
              </w:rPr>
              <w:t>1日</w:t>
            </w:r>
          </w:p>
        </w:tc>
        <w:tc>
          <w:tcPr>
            <w:tcW w:w="543" w:type="pct"/>
            <w:vMerge w:val="restart"/>
            <w:tcBorders>
              <w:top w:val="single" w:color="auto" w:sz="4" w:space="0"/>
              <w:left w:val="single" w:color="auto" w:sz="4" w:space="0"/>
              <w:bottom w:val="nil"/>
              <w:right w:val="single" w:color="auto" w:sz="4" w:space="0"/>
            </w:tcBorders>
            <w:shd w:val="clear" w:color="auto" w:fill="auto"/>
            <w:vAlign w:val="center"/>
          </w:tcPr>
          <w:p w14:paraId="0F909359">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时效指标</w:t>
            </w:r>
          </w:p>
        </w:tc>
        <w:tc>
          <w:tcPr>
            <w:tcW w:w="898" w:type="pct"/>
            <w:gridSpan w:val="2"/>
            <w:tcBorders>
              <w:top w:val="single" w:color="auto" w:sz="4" w:space="0"/>
              <w:left w:val="nil"/>
              <w:bottom w:val="single" w:color="auto" w:sz="4" w:space="0"/>
              <w:right w:val="single" w:color="000000" w:sz="4" w:space="0"/>
            </w:tcBorders>
            <w:shd w:val="clear" w:color="auto" w:fill="auto"/>
            <w:vAlign w:val="center"/>
          </w:tcPr>
          <w:p w14:paraId="12E4DCA3">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指标1：按时取得项目开工许可证</w:t>
            </w:r>
          </w:p>
        </w:tc>
        <w:tc>
          <w:tcPr>
            <w:tcW w:w="809" w:type="pct"/>
            <w:tcBorders>
              <w:top w:val="single" w:color="auto" w:sz="4" w:space="0"/>
              <w:left w:val="nil"/>
              <w:bottom w:val="single" w:color="auto" w:sz="4" w:space="0"/>
              <w:right w:val="single" w:color="auto" w:sz="4" w:space="0"/>
            </w:tcBorders>
            <w:shd w:val="clear" w:color="auto" w:fill="auto"/>
            <w:vAlign w:val="center"/>
          </w:tcPr>
          <w:p w14:paraId="0423CCFA">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202</w:t>
            </w:r>
            <w:r>
              <w:rPr>
                <w:rFonts w:hint="eastAsia" w:ascii="Times New Roman" w:hAnsi="Times New Roman" w:eastAsia="宋体" w:cs="Times New Roman"/>
                <w:color w:val="auto"/>
                <w:kern w:val="0"/>
                <w:sz w:val="13"/>
                <w:szCs w:val="13"/>
                <w:highlight w:val="none"/>
                <w:lang w:val="en-US" w:eastAsia="zh-CN"/>
              </w:rPr>
              <w:t>5</w:t>
            </w:r>
            <w:r>
              <w:rPr>
                <w:rFonts w:ascii="Times New Roman" w:hAnsi="Times New Roman" w:eastAsia="宋体" w:cs="Times New Roman"/>
                <w:color w:val="auto"/>
                <w:kern w:val="0"/>
                <w:sz w:val="13"/>
                <w:szCs w:val="13"/>
                <w:highlight w:val="none"/>
              </w:rPr>
              <w:t>年</w:t>
            </w:r>
            <w:r>
              <w:rPr>
                <w:rFonts w:hint="eastAsia" w:ascii="Times New Roman" w:hAnsi="Times New Roman" w:eastAsia="宋体" w:cs="Times New Roman"/>
                <w:color w:val="auto"/>
                <w:kern w:val="0"/>
                <w:sz w:val="13"/>
                <w:szCs w:val="13"/>
                <w:highlight w:val="none"/>
                <w:lang w:val="en-US" w:eastAsia="zh-CN"/>
              </w:rPr>
              <w:t>4</w:t>
            </w:r>
            <w:r>
              <w:rPr>
                <w:rFonts w:ascii="Times New Roman" w:hAnsi="Times New Roman" w:eastAsia="宋体" w:cs="Times New Roman"/>
                <w:color w:val="auto"/>
                <w:kern w:val="0"/>
                <w:sz w:val="13"/>
                <w:szCs w:val="13"/>
                <w:highlight w:val="none"/>
              </w:rPr>
              <w:t>月</w:t>
            </w:r>
            <w:r>
              <w:rPr>
                <w:rFonts w:hint="eastAsia" w:ascii="Times New Roman" w:hAnsi="Times New Roman" w:eastAsia="宋体" w:cs="Times New Roman"/>
                <w:color w:val="auto"/>
                <w:kern w:val="0"/>
                <w:sz w:val="13"/>
                <w:szCs w:val="13"/>
                <w:highlight w:val="none"/>
                <w:lang w:val="en-US" w:eastAsia="zh-CN"/>
              </w:rPr>
              <w:t>1日</w:t>
            </w:r>
          </w:p>
        </w:tc>
      </w:tr>
      <w:tr w14:paraId="068EB341">
        <w:tblPrEx>
          <w:tblCellMar>
            <w:top w:w="0" w:type="dxa"/>
            <w:left w:w="108" w:type="dxa"/>
            <w:bottom w:w="0" w:type="dxa"/>
            <w:right w:w="108" w:type="dxa"/>
          </w:tblCellMar>
        </w:tblPrEx>
        <w:trPr>
          <w:trHeight w:val="348" w:hRule="atLeast"/>
        </w:trPr>
        <w:tc>
          <w:tcPr>
            <w:tcW w:w="235" w:type="pct"/>
            <w:vMerge w:val="continue"/>
            <w:tcBorders>
              <w:top w:val="nil"/>
              <w:left w:val="single" w:color="auto" w:sz="4" w:space="0"/>
              <w:bottom w:val="single" w:color="auto" w:sz="4" w:space="0"/>
              <w:right w:val="single" w:color="auto" w:sz="4" w:space="0"/>
            </w:tcBorders>
            <w:vAlign w:val="center"/>
          </w:tcPr>
          <w:p w14:paraId="76EC7A98">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296" w:type="pct"/>
            <w:vMerge w:val="continue"/>
            <w:tcBorders>
              <w:top w:val="single" w:color="auto" w:sz="4" w:space="0"/>
              <w:left w:val="single" w:color="auto" w:sz="4" w:space="0"/>
              <w:bottom w:val="single" w:color="auto" w:sz="4" w:space="0"/>
              <w:right w:val="single" w:color="auto" w:sz="4" w:space="0"/>
            </w:tcBorders>
            <w:vAlign w:val="center"/>
          </w:tcPr>
          <w:p w14:paraId="26B94349">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445" w:type="pct"/>
            <w:vMerge w:val="continue"/>
            <w:tcBorders>
              <w:top w:val="single" w:color="auto" w:sz="4" w:space="0"/>
              <w:left w:val="single" w:color="auto" w:sz="4" w:space="0"/>
              <w:bottom w:val="nil"/>
              <w:right w:val="single" w:color="auto" w:sz="4" w:space="0"/>
            </w:tcBorders>
            <w:vAlign w:val="center"/>
          </w:tcPr>
          <w:p w14:paraId="1BAD73D8">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962" w:type="pct"/>
            <w:tcBorders>
              <w:top w:val="nil"/>
              <w:left w:val="nil"/>
              <w:bottom w:val="single" w:color="auto" w:sz="4" w:space="0"/>
              <w:right w:val="single" w:color="auto" w:sz="4" w:space="0"/>
            </w:tcBorders>
            <w:shd w:val="clear" w:color="auto" w:fill="auto"/>
            <w:vAlign w:val="center"/>
          </w:tcPr>
          <w:p w14:paraId="5D9FBCDD">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指标2：工程按时开工</w:t>
            </w:r>
          </w:p>
        </w:tc>
        <w:tc>
          <w:tcPr>
            <w:tcW w:w="808" w:type="pct"/>
            <w:tcBorders>
              <w:top w:val="nil"/>
              <w:left w:val="nil"/>
              <w:bottom w:val="single" w:color="auto" w:sz="4" w:space="0"/>
              <w:right w:val="single" w:color="auto" w:sz="4" w:space="0"/>
            </w:tcBorders>
            <w:shd w:val="clear" w:color="auto" w:fill="auto"/>
            <w:vAlign w:val="center"/>
          </w:tcPr>
          <w:p w14:paraId="0F6F3CFD">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202</w:t>
            </w:r>
            <w:r>
              <w:rPr>
                <w:rFonts w:hint="eastAsia" w:ascii="Times New Roman" w:hAnsi="Times New Roman" w:eastAsia="宋体" w:cs="Times New Roman"/>
                <w:color w:val="auto"/>
                <w:kern w:val="0"/>
                <w:sz w:val="13"/>
                <w:szCs w:val="13"/>
                <w:highlight w:val="none"/>
                <w:lang w:val="en-US" w:eastAsia="zh-CN"/>
              </w:rPr>
              <w:t>5</w:t>
            </w:r>
            <w:r>
              <w:rPr>
                <w:rFonts w:ascii="Times New Roman" w:hAnsi="Times New Roman" w:eastAsia="宋体" w:cs="Times New Roman"/>
                <w:color w:val="auto"/>
                <w:kern w:val="0"/>
                <w:sz w:val="13"/>
                <w:szCs w:val="13"/>
                <w:highlight w:val="none"/>
              </w:rPr>
              <w:t>年</w:t>
            </w:r>
            <w:r>
              <w:rPr>
                <w:rFonts w:hint="eastAsia" w:ascii="Times New Roman" w:hAnsi="Times New Roman" w:eastAsia="宋体" w:cs="Times New Roman"/>
                <w:color w:val="auto"/>
                <w:kern w:val="0"/>
                <w:sz w:val="13"/>
                <w:szCs w:val="13"/>
                <w:highlight w:val="none"/>
                <w:lang w:val="en-US" w:eastAsia="zh-CN"/>
              </w:rPr>
              <w:t>4</w:t>
            </w:r>
            <w:r>
              <w:rPr>
                <w:rFonts w:ascii="Times New Roman" w:hAnsi="Times New Roman" w:eastAsia="宋体" w:cs="Times New Roman"/>
                <w:color w:val="auto"/>
                <w:kern w:val="0"/>
                <w:sz w:val="13"/>
                <w:szCs w:val="13"/>
                <w:highlight w:val="none"/>
              </w:rPr>
              <w:t>月</w:t>
            </w:r>
            <w:r>
              <w:rPr>
                <w:rFonts w:hint="eastAsia" w:ascii="Times New Roman" w:hAnsi="Times New Roman" w:eastAsia="宋体" w:cs="Times New Roman"/>
                <w:color w:val="auto"/>
                <w:kern w:val="0"/>
                <w:sz w:val="13"/>
                <w:szCs w:val="13"/>
                <w:highlight w:val="none"/>
                <w:lang w:val="en-US" w:eastAsia="zh-CN"/>
              </w:rPr>
              <w:t>1日</w:t>
            </w:r>
          </w:p>
        </w:tc>
        <w:tc>
          <w:tcPr>
            <w:tcW w:w="543" w:type="pct"/>
            <w:vMerge w:val="continue"/>
            <w:tcBorders>
              <w:top w:val="single" w:color="auto" w:sz="4" w:space="0"/>
              <w:left w:val="single" w:color="auto" w:sz="4" w:space="0"/>
              <w:bottom w:val="nil"/>
              <w:right w:val="single" w:color="auto" w:sz="4" w:space="0"/>
            </w:tcBorders>
            <w:vAlign w:val="center"/>
          </w:tcPr>
          <w:p w14:paraId="1E489604">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898" w:type="pct"/>
            <w:gridSpan w:val="2"/>
            <w:tcBorders>
              <w:top w:val="single" w:color="auto" w:sz="4" w:space="0"/>
              <w:left w:val="nil"/>
              <w:bottom w:val="single" w:color="auto" w:sz="4" w:space="0"/>
              <w:right w:val="single" w:color="000000" w:sz="4" w:space="0"/>
            </w:tcBorders>
            <w:shd w:val="clear" w:color="auto" w:fill="auto"/>
            <w:vAlign w:val="center"/>
          </w:tcPr>
          <w:p w14:paraId="4E8D42AF">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指标2：工程按时开工</w:t>
            </w:r>
          </w:p>
        </w:tc>
        <w:tc>
          <w:tcPr>
            <w:tcW w:w="809" w:type="pct"/>
            <w:tcBorders>
              <w:top w:val="nil"/>
              <w:left w:val="nil"/>
              <w:bottom w:val="single" w:color="auto" w:sz="4" w:space="0"/>
              <w:right w:val="single" w:color="auto" w:sz="4" w:space="0"/>
            </w:tcBorders>
            <w:shd w:val="clear" w:color="auto" w:fill="auto"/>
            <w:vAlign w:val="center"/>
          </w:tcPr>
          <w:p w14:paraId="05BBE75F">
            <w:pPr>
              <w:widowControl/>
              <w:spacing w:before="0" w:after="0" w:line="0" w:lineRule="atLeast"/>
              <w:ind w:firstLine="0" w:firstLineChars="0"/>
              <w:jc w:val="center"/>
              <w:rPr>
                <w:rFonts w:hint="default" w:ascii="Times New Roman" w:hAnsi="Times New Roman" w:eastAsia="宋体" w:cs="Times New Roman"/>
                <w:color w:val="auto"/>
                <w:kern w:val="0"/>
                <w:sz w:val="13"/>
                <w:szCs w:val="13"/>
                <w:highlight w:val="none"/>
                <w:lang w:val="en-US"/>
              </w:rPr>
            </w:pPr>
            <w:r>
              <w:rPr>
                <w:rFonts w:ascii="Times New Roman" w:hAnsi="Times New Roman" w:eastAsia="宋体" w:cs="Times New Roman"/>
                <w:color w:val="auto"/>
                <w:kern w:val="0"/>
                <w:sz w:val="13"/>
                <w:szCs w:val="13"/>
                <w:highlight w:val="none"/>
              </w:rPr>
              <w:t>202</w:t>
            </w:r>
            <w:r>
              <w:rPr>
                <w:rFonts w:hint="eastAsia" w:ascii="Times New Roman" w:hAnsi="Times New Roman" w:eastAsia="宋体" w:cs="Times New Roman"/>
                <w:color w:val="auto"/>
                <w:kern w:val="0"/>
                <w:sz w:val="13"/>
                <w:szCs w:val="13"/>
                <w:highlight w:val="none"/>
                <w:lang w:val="en-US" w:eastAsia="zh-CN"/>
              </w:rPr>
              <w:t>5</w:t>
            </w:r>
            <w:r>
              <w:rPr>
                <w:rFonts w:ascii="Times New Roman" w:hAnsi="Times New Roman" w:eastAsia="宋体" w:cs="Times New Roman"/>
                <w:color w:val="auto"/>
                <w:kern w:val="0"/>
                <w:sz w:val="13"/>
                <w:szCs w:val="13"/>
                <w:highlight w:val="none"/>
              </w:rPr>
              <w:t>年</w:t>
            </w:r>
            <w:r>
              <w:rPr>
                <w:rFonts w:hint="eastAsia" w:ascii="Times New Roman" w:hAnsi="Times New Roman" w:eastAsia="宋体" w:cs="Times New Roman"/>
                <w:color w:val="auto"/>
                <w:kern w:val="0"/>
                <w:sz w:val="13"/>
                <w:szCs w:val="13"/>
                <w:highlight w:val="none"/>
                <w:lang w:val="en-US" w:eastAsia="zh-CN"/>
              </w:rPr>
              <w:t>4月1日</w:t>
            </w:r>
          </w:p>
        </w:tc>
      </w:tr>
      <w:tr w14:paraId="27622691">
        <w:tblPrEx>
          <w:tblCellMar>
            <w:top w:w="0" w:type="dxa"/>
            <w:left w:w="108" w:type="dxa"/>
            <w:bottom w:w="0" w:type="dxa"/>
            <w:right w:w="108" w:type="dxa"/>
          </w:tblCellMar>
        </w:tblPrEx>
        <w:trPr>
          <w:trHeight w:val="696" w:hRule="atLeast"/>
        </w:trPr>
        <w:tc>
          <w:tcPr>
            <w:tcW w:w="235" w:type="pct"/>
            <w:vMerge w:val="continue"/>
            <w:tcBorders>
              <w:top w:val="nil"/>
              <w:left w:val="single" w:color="auto" w:sz="4" w:space="0"/>
              <w:bottom w:val="single" w:color="auto" w:sz="4" w:space="0"/>
              <w:right w:val="single" w:color="auto" w:sz="4" w:space="0"/>
            </w:tcBorders>
            <w:vAlign w:val="center"/>
          </w:tcPr>
          <w:p w14:paraId="77A38F2F">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296" w:type="pct"/>
            <w:vMerge w:val="continue"/>
            <w:tcBorders>
              <w:top w:val="single" w:color="auto" w:sz="4" w:space="0"/>
              <w:left w:val="single" w:color="auto" w:sz="4" w:space="0"/>
              <w:bottom w:val="single" w:color="auto" w:sz="4" w:space="0"/>
              <w:right w:val="single" w:color="auto" w:sz="4" w:space="0"/>
            </w:tcBorders>
            <w:vAlign w:val="center"/>
          </w:tcPr>
          <w:p w14:paraId="5B7AD043">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445" w:type="pct"/>
            <w:vMerge w:val="continue"/>
            <w:tcBorders>
              <w:top w:val="single" w:color="auto" w:sz="4" w:space="0"/>
              <w:left w:val="single" w:color="auto" w:sz="4" w:space="0"/>
              <w:bottom w:val="nil"/>
              <w:right w:val="single" w:color="auto" w:sz="4" w:space="0"/>
            </w:tcBorders>
            <w:vAlign w:val="center"/>
          </w:tcPr>
          <w:p w14:paraId="6E023122">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962" w:type="pct"/>
            <w:tcBorders>
              <w:top w:val="nil"/>
              <w:left w:val="nil"/>
              <w:bottom w:val="single" w:color="auto" w:sz="4" w:space="0"/>
              <w:right w:val="single" w:color="auto" w:sz="4" w:space="0"/>
            </w:tcBorders>
            <w:shd w:val="clear" w:color="auto" w:fill="auto"/>
            <w:vAlign w:val="center"/>
          </w:tcPr>
          <w:p w14:paraId="3237CC5C">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指标3：工程按时竣工验收</w:t>
            </w:r>
          </w:p>
        </w:tc>
        <w:tc>
          <w:tcPr>
            <w:tcW w:w="808" w:type="pct"/>
            <w:tcBorders>
              <w:top w:val="nil"/>
              <w:left w:val="nil"/>
              <w:bottom w:val="single" w:color="auto" w:sz="4" w:space="0"/>
              <w:right w:val="single" w:color="auto" w:sz="4" w:space="0"/>
            </w:tcBorders>
            <w:shd w:val="clear" w:color="auto" w:fill="auto"/>
            <w:vAlign w:val="center"/>
          </w:tcPr>
          <w:p w14:paraId="3016EDFE">
            <w:pPr>
              <w:widowControl/>
              <w:spacing w:before="0" w:after="0" w:line="0" w:lineRule="atLeast"/>
              <w:ind w:firstLine="0" w:firstLineChars="0"/>
              <w:jc w:val="center"/>
              <w:rPr>
                <w:rFonts w:hint="default" w:ascii="Times New Roman" w:hAnsi="Times New Roman" w:eastAsia="宋体" w:cs="Times New Roman"/>
                <w:color w:val="auto"/>
                <w:kern w:val="0"/>
                <w:sz w:val="13"/>
                <w:szCs w:val="13"/>
                <w:highlight w:val="none"/>
                <w:lang w:val="en-US" w:eastAsia="zh-CN"/>
              </w:rPr>
            </w:pPr>
            <w:r>
              <w:rPr>
                <w:rFonts w:ascii="Times New Roman" w:hAnsi="Times New Roman" w:eastAsia="宋体" w:cs="Times New Roman"/>
                <w:color w:val="auto"/>
                <w:kern w:val="0"/>
                <w:sz w:val="13"/>
                <w:szCs w:val="13"/>
                <w:highlight w:val="none"/>
              </w:rPr>
              <w:t>202</w:t>
            </w:r>
            <w:r>
              <w:rPr>
                <w:rFonts w:hint="eastAsia" w:ascii="Times New Roman" w:hAnsi="Times New Roman" w:eastAsia="宋体" w:cs="Times New Roman"/>
                <w:color w:val="auto"/>
                <w:kern w:val="0"/>
                <w:sz w:val="13"/>
                <w:szCs w:val="13"/>
                <w:highlight w:val="none"/>
                <w:lang w:val="en-US" w:eastAsia="zh-CN"/>
              </w:rPr>
              <w:t>8</w:t>
            </w:r>
            <w:r>
              <w:rPr>
                <w:rFonts w:ascii="Times New Roman" w:hAnsi="Times New Roman" w:eastAsia="宋体" w:cs="Times New Roman"/>
                <w:color w:val="auto"/>
                <w:kern w:val="0"/>
                <w:sz w:val="13"/>
                <w:szCs w:val="13"/>
                <w:highlight w:val="none"/>
              </w:rPr>
              <w:t>年</w:t>
            </w:r>
            <w:r>
              <w:rPr>
                <w:rFonts w:hint="eastAsia" w:ascii="Times New Roman" w:hAnsi="Times New Roman" w:eastAsia="宋体" w:cs="Times New Roman"/>
                <w:color w:val="auto"/>
                <w:kern w:val="0"/>
                <w:sz w:val="13"/>
                <w:szCs w:val="13"/>
                <w:highlight w:val="none"/>
                <w:lang w:val="en-US" w:eastAsia="zh-CN"/>
              </w:rPr>
              <w:t>3</w:t>
            </w:r>
            <w:r>
              <w:rPr>
                <w:rFonts w:ascii="Times New Roman" w:hAnsi="Times New Roman" w:eastAsia="宋体" w:cs="Times New Roman"/>
                <w:color w:val="auto"/>
                <w:kern w:val="0"/>
                <w:sz w:val="13"/>
                <w:szCs w:val="13"/>
                <w:highlight w:val="none"/>
              </w:rPr>
              <w:t>月</w:t>
            </w:r>
            <w:r>
              <w:rPr>
                <w:rFonts w:hint="eastAsia" w:ascii="Times New Roman" w:hAnsi="Times New Roman" w:eastAsia="宋体" w:cs="Times New Roman"/>
                <w:color w:val="auto"/>
                <w:kern w:val="0"/>
                <w:sz w:val="13"/>
                <w:szCs w:val="13"/>
                <w:highlight w:val="none"/>
                <w:lang w:val="en-US" w:eastAsia="zh-CN"/>
              </w:rPr>
              <w:t>31日</w:t>
            </w:r>
          </w:p>
        </w:tc>
        <w:tc>
          <w:tcPr>
            <w:tcW w:w="543" w:type="pct"/>
            <w:vMerge w:val="continue"/>
            <w:tcBorders>
              <w:top w:val="single" w:color="auto" w:sz="4" w:space="0"/>
              <w:left w:val="single" w:color="auto" w:sz="4" w:space="0"/>
              <w:bottom w:val="nil"/>
              <w:right w:val="single" w:color="auto" w:sz="4" w:space="0"/>
            </w:tcBorders>
            <w:vAlign w:val="center"/>
          </w:tcPr>
          <w:p w14:paraId="1D00926C">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898" w:type="pct"/>
            <w:gridSpan w:val="2"/>
            <w:tcBorders>
              <w:top w:val="single" w:color="auto" w:sz="4" w:space="0"/>
              <w:left w:val="nil"/>
              <w:bottom w:val="single" w:color="auto" w:sz="4" w:space="0"/>
              <w:right w:val="single" w:color="000000" w:sz="4" w:space="0"/>
            </w:tcBorders>
            <w:shd w:val="clear" w:color="auto" w:fill="auto"/>
            <w:vAlign w:val="center"/>
          </w:tcPr>
          <w:p w14:paraId="4EA40D2A">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指标3：工程按时竣工验收</w:t>
            </w:r>
          </w:p>
        </w:tc>
        <w:tc>
          <w:tcPr>
            <w:tcW w:w="809" w:type="pct"/>
            <w:tcBorders>
              <w:top w:val="nil"/>
              <w:left w:val="nil"/>
              <w:bottom w:val="single" w:color="auto" w:sz="4" w:space="0"/>
              <w:right w:val="single" w:color="auto" w:sz="4" w:space="0"/>
            </w:tcBorders>
            <w:shd w:val="clear" w:color="auto" w:fill="auto"/>
            <w:vAlign w:val="center"/>
          </w:tcPr>
          <w:p w14:paraId="2F7FAD2A">
            <w:pPr>
              <w:widowControl/>
              <w:spacing w:before="0" w:after="0" w:line="0" w:lineRule="atLeast"/>
              <w:ind w:firstLine="0" w:firstLineChars="0"/>
              <w:jc w:val="center"/>
              <w:rPr>
                <w:rFonts w:hint="default" w:ascii="Times New Roman" w:hAnsi="Times New Roman" w:eastAsia="宋体" w:cs="Times New Roman"/>
                <w:color w:val="auto"/>
                <w:kern w:val="0"/>
                <w:sz w:val="13"/>
                <w:szCs w:val="13"/>
                <w:highlight w:val="none"/>
                <w:lang w:val="en-US" w:eastAsia="zh-CN"/>
              </w:rPr>
            </w:pPr>
            <w:r>
              <w:rPr>
                <w:rFonts w:ascii="Times New Roman" w:hAnsi="Times New Roman" w:eastAsia="宋体" w:cs="Times New Roman"/>
                <w:color w:val="auto"/>
                <w:kern w:val="0"/>
                <w:sz w:val="13"/>
                <w:szCs w:val="13"/>
                <w:highlight w:val="none"/>
              </w:rPr>
              <w:t>202</w:t>
            </w:r>
            <w:r>
              <w:rPr>
                <w:rFonts w:hint="eastAsia" w:ascii="Times New Roman" w:hAnsi="Times New Roman" w:eastAsia="宋体" w:cs="Times New Roman"/>
                <w:color w:val="auto"/>
                <w:kern w:val="0"/>
                <w:sz w:val="13"/>
                <w:szCs w:val="13"/>
                <w:highlight w:val="none"/>
                <w:lang w:val="en-US" w:eastAsia="zh-CN"/>
              </w:rPr>
              <w:t>8</w:t>
            </w:r>
            <w:r>
              <w:rPr>
                <w:rFonts w:ascii="Times New Roman" w:hAnsi="Times New Roman" w:eastAsia="宋体" w:cs="Times New Roman"/>
                <w:color w:val="auto"/>
                <w:kern w:val="0"/>
                <w:sz w:val="13"/>
                <w:szCs w:val="13"/>
                <w:highlight w:val="none"/>
              </w:rPr>
              <w:t>年</w:t>
            </w:r>
            <w:r>
              <w:rPr>
                <w:rFonts w:hint="eastAsia" w:ascii="Times New Roman" w:hAnsi="Times New Roman" w:eastAsia="宋体" w:cs="Times New Roman"/>
                <w:color w:val="auto"/>
                <w:kern w:val="0"/>
                <w:sz w:val="13"/>
                <w:szCs w:val="13"/>
                <w:highlight w:val="none"/>
                <w:lang w:val="en-US" w:eastAsia="zh-CN"/>
              </w:rPr>
              <w:t>3</w:t>
            </w:r>
            <w:r>
              <w:rPr>
                <w:rFonts w:ascii="Times New Roman" w:hAnsi="Times New Roman" w:eastAsia="宋体" w:cs="Times New Roman"/>
                <w:color w:val="auto"/>
                <w:kern w:val="0"/>
                <w:sz w:val="13"/>
                <w:szCs w:val="13"/>
                <w:highlight w:val="none"/>
              </w:rPr>
              <w:t>月</w:t>
            </w:r>
            <w:r>
              <w:rPr>
                <w:rFonts w:hint="eastAsia" w:ascii="Times New Roman" w:hAnsi="Times New Roman" w:eastAsia="宋体" w:cs="Times New Roman"/>
                <w:color w:val="auto"/>
                <w:kern w:val="0"/>
                <w:sz w:val="13"/>
                <w:szCs w:val="13"/>
                <w:highlight w:val="none"/>
                <w:lang w:val="en-US" w:eastAsia="zh-CN"/>
              </w:rPr>
              <w:t>31日</w:t>
            </w:r>
          </w:p>
        </w:tc>
      </w:tr>
      <w:tr w14:paraId="6179B177">
        <w:tblPrEx>
          <w:tblCellMar>
            <w:top w:w="0" w:type="dxa"/>
            <w:left w:w="108" w:type="dxa"/>
            <w:bottom w:w="0" w:type="dxa"/>
            <w:right w:w="108" w:type="dxa"/>
          </w:tblCellMar>
        </w:tblPrEx>
        <w:trPr>
          <w:trHeight w:val="696" w:hRule="atLeast"/>
        </w:trPr>
        <w:tc>
          <w:tcPr>
            <w:tcW w:w="235" w:type="pct"/>
            <w:vMerge w:val="continue"/>
            <w:tcBorders>
              <w:top w:val="nil"/>
              <w:left w:val="single" w:color="auto" w:sz="4" w:space="0"/>
              <w:bottom w:val="single" w:color="auto" w:sz="4" w:space="0"/>
              <w:right w:val="single" w:color="auto" w:sz="4" w:space="0"/>
            </w:tcBorders>
            <w:vAlign w:val="center"/>
          </w:tcPr>
          <w:p w14:paraId="29FAE3E7">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296" w:type="pct"/>
            <w:vMerge w:val="continue"/>
            <w:tcBorders>
              <w:top w:val="single" w:color="auto" w:sz="4" w:space="0"/>
              <w:left w:val="single" w:color="auto" w:sz="4" w:space="0"/>
              <w:bottom w:val="single" w:color="auto" w:sz="4" w:space="0"/>
              <w:right w:val="single" w:color="auto" w:sz="4" w:space="0"/>
            </w:tcBorders>
            <w:vAlign w:val="center"/>
          </w:tcPr>
          <w:p w14:paraId="553DD7F9">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445" w:type="pct"/>
            <w:vMerge w:val="restart"/>
            <w:tcBorders>
              <w:top w:val="single" w:color="auto" w:sz="4" w:space="0"/>
              <w:left w:val="single" w:color="auto" w:sz="4" w:space="0"/>
              <w:bottom w:val="nil"/>
              <w:right w:val="single" w:color="auto" w:sz="4" w:space="0"/>
            </w:tcBorders>
            <w:shd w:val="clear" w:color="auto" w:fill="auto"/>
            <w:vAlign w:val="center"/>
          </w:tcPr>
          <w:p w14:paraId="131BE11E">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成本指标</w:t>
            </w:r>
          </w:p>
        </w:tc>
        <w:tc>
          <w:tcPr>
            <w:tcW w:w="962" w:type="pct"/>
            <w:tcBorders>
              <w:top w:val="nil"/>
              <w:left w:val="nil"/>
              <w:bottom w:val="single" w:color="auto" w:sz="4" w:space="0"/>
              <w:right w:val="single" w:color="auto" w:sz="4" w:space="0"/>
            </w:tcBorders>
            <w:shd w:val="clear" w:color="auto" w:fill="auto"/>
            <w:vAlign w:val="center"/>
          </w:tcPr>
          <w:p w14:paraId="3AA53998">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指标1：项目建设总投资成本</w:t>
            </w:r>
          </w:p>
        </w:tc>
        <w:tc>
          <w:tcPr>
            <w:tcW w:w="808" w:type="pct"/>
            <w:tcBorders>
              <w:top w:val="nil"/>
              <w:left w:val="nil"/>
              <w:bottom w:val="single" w:color="auto" w:sz="4" w:space="0"/>
              <w:right w:val="single" w:color="auto" w:sz="4" w:space="0"/>
            </w:tcBorders>
            <w:shd w:val="clear" w:color="auto" w:fill="auto"/>
            <w:vAlign w:val="center"/>
          </w:tcPr>
          <w:p w14:paraId="4F0FDBAA">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w:t>
            </w:r>
            <w:r>
              <w:rPr>
                <w:rFonts w:hint="eastAsia" w:ascii="Times New Roman" w:hAnsi="Times New Roman" w:eastAsia="宋体" w:cs="Times New Roman"/>
                <w:color w:val="auto"/>
                <w:kern w:val="0"/>
                <w:sz w:val="13"/>
                <w:szCs w:val="13"/>
                <w:highlight w:val="none"/>
                <w:lang w:val="en-US" w:eastAsia="zh-CN"/>
              </w:rPr>
              <w:t>51</w:t>
            </w:r>
            <w:r>
              <w:rPr>
                <w:rFonts w:hint="eastAsia" w:ascii="Times New Roman" w:hAnsi="Times New Roman" w:eastAsia="宋体" w:cs="Times New Roman"/>
                <w:color w:val="auto"/>
                <w:kern w:val="0"/>
                <w:sz w:val="13"/>
                <w:szCs w:val="13"/>
                <w:highlight w:val="none"/>
              </w:rPr>
              <w:t>,</w:t>
            </w:r>
            <w:r>
              <w:rPr>
                <w:rFonts w:hint="eastAsia" w:ascii="Times New Roman" w:hAnsi="Times New Roman" w:eastAsia="宋体" w:cs="Times New Roman"/>
                <w:color w:val="auto"/>
                <w:kern w:val="0"/>
                <w:sz w:val="13"/>
                <w:szCs w:val="13"/>
                <w:highlight w:val="none"/>
                <w:lang w:val="en-US" w:eastAsia="zh-CN"/>
              </w:rPr>
              <w:t>121</w:t>
            </w:r>
            <w:r>
              <w:rPr>
                <w:rFonts w:hint="eastAsia" w:ascii="Times New Roman" w:hAnsi="Times New Roman" w:eastAsia="宋体" w:cs="Times New Roman"/>
                <w:color w:val="auto"/>
                <w:kern w:val="0"/>
                <w:sz w:val="13"/>
                <w:szCs w:val="13"/>
                <w:highlight w:val="none"/>
              </w:rPr>
              <w:t>.</w:t>
            </w:r>
            <w:r>
              <w:rPr>
                <w:rFonts w:hint="eastAsia" w:ascii="Times New Roman" w:hAnsi="Times New Roman" w:eastAsia="宋体" w:cs="Times New Roman"/>
                <w:color w:val="auto"/>
                <w:kern w:val="0"/>
                <w:sz w:val="13"/>
                <w:szCs w:val="13"/>
                <w:highlight w:val="none"/>
                <w:lang w:val="en-US" w:eastAsia="zh-CN"/>
              </w:rPr>
              <w:t>88</w:t>
            </w:r>
            <w:r>
              <w:rPr>
                <w:rFonts w:ascii="Times New Roman" w:hAnsi="Times New Roman" w:eastAsia="宋体" w:cs="Times New Roman"/>
                <w:color w:val="auto"/>
                <w:kern w:val="0"/>
                <w:sz w:val="13"/>
                <w:szCs w:val="13"/>
                <w:highlight w:val="none"/>
              </w:rPr>
              <w:t>万元</w:t>
            </w:r>
          </w:p>
        </w:tc>
        <w:tc>
          <w:tcPr>
            <w:tcW w:w="543"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1F7B680D">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成本指标</w:t>
            </w:r>
          </w:p>
        </w:tc>
        <w:tc>
          <w:tcPr>
            <w:tcW w:w="898" w:type="pct"/>
            <w:gridSpan w:val="2"/>
            <w:tcBorders>
              <w:top w:val="single" w:color="auto" w:sz="4" w:space="0"/>
              <w:left w:val="nil"/>
              <w:bottom w:val="single" w:color="auto" w:sz="4" w:space="0"/>
              <w:right w:val="single" w:color="000000" w:sz="4" w:space="0"/>
            </w:tcBorders>
            <w:shd w:val="clear" w:color="auto" w:fill="auto"/>
            <w:vAlign w:val="center"/>
          </w:tcPr>
          <w:p w14:paraId="7CB9DAD3">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指标1：项目建设总投资成本</w:t>
            </w:r>
          </w:p>
        </w:tc>
        <w:tc>
          <w:tcPr>
            <w:tcW w:w="809" w:type="pct"/>
            <w:tcBorders>
              <w:top w:val="nil"/>
              <w:left w:val="nil"/>
              <w:bottom w:val="single" w:color="auto" w:sz="4" w:space="0"/>
              <w:right w:val="single" w:color="auto" w:sz="4" w:space="0"/>
            </w:tcBorders>
            <w:shd w:val="clear" w:color="auto" w:fill="auto"/>
            <w:vAlign w:val="center"/>
          </w:tcPr>
          <w:p w14:paraId="689144CA">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w:t>
            </w:r>
            <w:r>
              <w:rPr>
                <w:rFonts w:hint="eastAsia" w:ascii="Times New Roman" w:hAnsi="Times New Roman" w:eastAsia="宋体" w:cs="Times New Roman"/>
                <w:color w:val="auto"/>
                <w:kern w:val="0"/>
                <w:sz w:val="13"/>
                <w:szCs w:val="13"/>
                <w:highlight w:val="none"/>
                <w:lang w:val="en-US" w:eastAsia="zh-CN"/>
              </w:rPr>
              <w:t xml:space="preserve">11,121.88 </w:t>
            </w:r>
            <w:r>
              <w:rPr>
                <w:rFonts w:ascii="Times New Roman" w:hAnsi="Times New Roman" w:eastAsia="宋体" w:cs="Times New Roman"/>
                <w:color w:val="auto"/>
                <w:kern w:val="0"/>
                <w:sz w:val="13"/>
                <w:szCs w:val="13"/>
                <w:highlight w:val="none"/>
              </w:rPr>
              <w:t>万元</w:t>
            </w:r>
          </w:p>
        </w:tc>
      </w:tr>
      <w:tr w14:paraId="30EACF4F">
        <w:tblPrEx>
          <w:tblCellMar>
            <w:top w:w="0" w:type="dxa"/>
            <w:left w:w="108" w:type="dxa"/>
            <w:bottom w:w="0" w:type="dxa"/>
            <w:right w:w="108" w:type="dxa"/>
          </w:tblCellMar>
        </w:tblPrEx>
        <w:trPr>
          <w:trHeight w:val="696" w:hRule="atLeast"/>
        </w:trPr>
        <w:tc>
          <w:tcPr>
            <w:tcW w:w="235" w:type="pct"/>
            <w:vMerge w:val="continue"/>
            <w:tcBorders>
              <w:top w:val="nil"/>
              <w:left w:val="single" w:color="auto" w:sz="4" w:space="0"/>
              <w:bottom w:val="single" w:color="auto" w:sz="4" w:space="0"/>
              <w:right w:val="single" w:color="auto" w:sz="4" w:space="0"/>
            </w:tcBorders>
            <w:vAlign w:val="center"/>
          </w:tcPr>
          <w:p w14:paraId="38C88F8E">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296" w:type="pct"/>
            <w:vMerge w:val="continue"/>
            <w:tcBorders>
              <w:top w:val="single" w:color="auto" w:sz="4" w:space="0"/>
              <w:left w:val="single" w:color="auto" w:sz="4" w:space="0"/>
              <w:bottom w:val="single" w:color="auto" w:sz="4" w:space="0"/>
              <w:right w:val="single" w:color="auto" w:sz="4" w:space="0"/>
            </w:tcBorders>
            <w:vAlign w:val="center"/>
          </w:tcPr>
          <w:p w14:paraId="0FBAFC7C">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445" w:type="pct"/>
            <w:vMerge w:val="continue"/>
            <w:tcBorders>
              <w:top w:val="single" w:color="auto" w:sz="4" w:space="0"/>
              <w:left w:val="single" w:color="auto" w:sz="4" w:space="0"/>
              <w:bottom w:val="nil"/>
              <w:right w:val="single" w:color="auto" w:sz="4" w:space="0"/>
            </w:tcBorders>
            <w:vAlign w:val="center"/>
          </w:tcPr>
          <w:p w14:paraId="7B96B4AF">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962" w:type="pct"/>
            <w:tcBorders>
              <w:top w:val="nil"/>
              <w:left w:val="nil"/>
              <w:bottom w:val="single" w:color="auto" w:sz="4" w:space="0"/>
              <w:right w:val="single" w:color="auto" w:sz="4" w:space="0"/>
            </w:tcBorders>
            <w:shd w:val="clear" w:color="auto" w:fill="auto"/>
            <w:vAlign w:val="center"/>
          </w:tcPr>
          <w:p w14:paraId="0F9C1F60">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指标2：项目融资总成本</w:t>
            </w:r>
          </w:p>
        </w:tc>
        <w:tc>
          <w:tcPr>
            <w:tcW w:w="808" w:type="pct"/>
            <w:tcBorders>
              <w:top w:val="nil"/>
              <w:left w:val="nil"/>
              <w:bottom w:val="single" w:color="auto" w:sz="4" w:space="0"/>
              <w:right w:val="single" w:color="auto" w:sz="4" w:space="0"/>
            </w:tcBorders>
            <w:shd w:val="clear" w:color="auto" w:fill="auto"/>
            <w:vAlign w:val="center"/>
          </w:tcPr>
          <w:p w14:paraId="23F7B505">
            <w:pPr>
              <w:widowControl/>
              <w:spacing w:before="0" w:after="0" w:line="0" w:lineRule="atLeast"/>
              <w:ind w:firstLine="0" w:firstLineChars="0"/>
              <w:jc w:val="both"/>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w:t>
            </w:r>
            <w:r>
              <w:rPr>
                <w:rFonts w:hint="eastAsia" w:ascii="Times New Roman" w:hAnsi="Times New Roman" w:eastAsia="宋体" w:cs="Times New Roman"/>
                <w:color w:val="auto"/>
                <w:kern w:val="0"/>
                <w:sz w:val="13"/>
                <w:szCs w:val="13"/>
                <w:highlight w:val="none"/>
                <w:lang w:val="en-US" w:eastAsia="zh-CN"/>
              </w:rPr>
              <w:t xml:space="preserve"> 69,280.00</w:t>
            </w:r>
            <w:r>
              <w:rPr>
                <w:rFonts w:ascii="Times New Roman" w:hAnsi="Times New Roman" w:eastAsia="宋体" w:cs="Times New Roman"/>
                <w:color w:val="auto"/>
                <w:kern w:val="0"/>
                <w:sz w:val="13"/>
                <w:szCs w:val="13"/>
                <w:highlight w:val="none"/>
              </w:rPr>
              <w:t>万元</w:t>
            </w:r>
          </w:p>
        </w:tc>
        <w:tc>
          <w:tcPr>
            <w:tcW w:w="543" w:type="pct"/>
            <w:vMerge w:val="continue"/>
            <w:tcBorders>
              <w:top w:val="single" w:color="auto" w:sz="4" w:space="0"/>
              <w:left w:val="single" w:color="auto" w:sz="4" w:space="0"/>
              <w:bottom w:val="single" w:color="auto" w:sz="4" w:space="0"/>
              <w:right w:val="single" w:color="auto" w:sz="4" w:space="0"/>
            </w:tcBorders>
            <w:vAlign w:val="center"/>
          </w:tcPr>
          <w:p w14:paraId="7551D0C0">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898" w:type="pct"/>
            <w:gridSpan w:val="2"/>
            <w:tcBorders>
              <w:top w:val="single" w:color="auto" w:sz="4" w:space="0"/>
              <w:left w:val="nil"/>
              <w:bottom w:val="single" w:color="auto" w:sz="4" w:space="0"/>
              <w:right w:val="single" w:color="000000" w:sz="4" w:space="0"/>
            </w:tcBorders>
            <w:shd w:val="clear" w:color="auto" w:fill="auto"/>
            <w:vAlign w:val="center"/>
          </w:tcPr>
          <w:p w14:paraId="239BEF6B">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指标2：项目融资总成本</w:t>
            </w:r>
          </w:p>
        </w:tc>
        <w:tc>
          <w:tcPr>
            <w:tcW w:w="809" w:type="pct"/>
            <w:tcBorders>
              <w:top w:val="nil"/>
              <w:left w:val="nil"/>
              <w:bottom w:val="single" w:color="auto" w:sz="4" w:space="0"/>
              <w:right w:val="single" w:color="auto" w:sz="4" w:space="0"/>
            </w:tcBorders>
            <w:shd w:val="clear" w:color="auto" w:fill="auto"/>
            <w:vAlign w:val="center"/>
          </w:tcPr>
          <w:p w14:paraId="4B1FD2D6">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w:t>
            </w:r>
            <w:r>
              <w:rPr>
                <w:rFonts w:hint="eastAsia" w:ascii="Times New Roman" w:hAnsi="Times New Roman" w:eastAsia="宋体" w:cs="Times New Roman"/>
                <w:color w:val="auto"/>
                <w:kern w:val="0"/>
                <w:sz w:val="13"/>
                <w:szCs w:val="13"/>
                <w:highlight w:val="none"/>
                <w:lang w:val="en-US" w:eastAsia="zh-CN"/>
              </w:rPr>
              <w:t xml:space="preserve"> 10,060.00 </w:t>
            </w:r>
            <w:r>
              <w:rPr>
                <w:rFonts w:ascii="Times New Roman" w:hAnsi="Times New Roman" w:eastAsia="宋体" w:cs="Times New Roman"/>
                <w:color w:val="auto"/>
                <w:kern w:val="0"/>
                <w:sz w:val="13"/>
                <w:szCs w:val="13"/>
                <w:highlight w:val="none"/>
              </w:rPr>
              <w:t>万元</w:t>
            </w:r>
          </w:p>
        </w:tc>
      </w:tr>
      <w:tr w14:paraId="34FCD518">
        <w:tblPrEx>
          <w:tblCellMar>
            <w:top w:w="0" w:type="dxa"/>
            <w:left w:w="108" w:type="dxa"/>
            <w:bottom w:w="0" w:type="dxa"/>
            <w:right w:w="108" w:type="dxa"/>
          </w:tblCellMar>
        </w:tblPrEx>
        <w:trPr>
          <w:trHeight w:val="348" w:hRule="atLeast"/>
        </w:trPr>
        <w:tc>
          <w:tcPr>
            <w:tcW w:w="235" w:type="pct"/>
            <w:vMerge w:val="continue"/>
            <w:tcBorders>
              <w:top w:val="nil"/>
              <w:left w:val="single" w:color="auto" w:sz="4" w:space="0"/>
              <w:bottom w:val="single" w:color="auto" w:sz="4" w:space="0"/>
              <w:right w:val="single" w:color="auto" w:sz="4" w:space="0"/>
            </w:tcBorders>
            <w:vAlign w:val="center"/>
          </w:tcPr>
          <w:p w14:paraId="0E4D9897">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296" w:type="pct"/>
            <w:vMerge w:val="continue"/>
            <w:tcBorders>
              <w:top w:val="single" w:color="auto" w:sz="4" w:space="0"/>
              <w:left w:val="single" w:color="auto" w:sz="4" w:space="0"/>
              <w:bottom w:val="single" w:color="auto" w:sz="4" w:space="0"/>
              <w:right w:val="single" w:color="auto" w:sz="4" w:space="0"/>
            </w:tcBorders>
            <w:vAlign w:val="center"/>
          </w:tcPr>
          <w:p w14:paraId="7FCE9FF1">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445" w:type="pct"/>
            <w:vMerge w:val="continue"/>
            <w:tcBorders>
              <w:top w:val="single" w:color="auto" w:sz="4" w:space="0"/>
              <w:left w:val="single" w:color="auto" w:sz="4" w:space="0"/>
              <w:bottom w:val="nil"/>
              <w:right w:val="single" w:color="auto" w:sz="4" w:space="0"/>
            </w:tcBorders>
            <w:vAlign w:val="center"/>
          </w:tcPr>
          <w:p w14:paraId="11BBCD0B">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962" w:type="pct"/>
            <w:tcBorders>
              <w:top w:val="nil"/>
              <w:left w:val="nil"/>
              <w:bottom w:val="single" w:color="auto" w:sz="4" w:space="0"/>
              <w:right w:val="single" w:color="auto" w:sz="4" w:space="0"/>
            </w:tcBorders>
            <w:shd w:val="clear" w:color="auto" w:fill="auto"/>
            <w:vAlign w:val="center"/>
          </w:tcPr>
          <w:p w14:paraId="39E39CCE">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指标3：项目运营成本</w:t>
            </w:r>
          </w:p>
        </w:tc>
        <w:tc>
          <w:tcPr>
            <w:tcW w:w="808" w:type="pct"/>
            <w:tcBorders>
              <w:top w:val="nil"/>
              <w:left w:val="nil"/>
              <w:bottom w:val="single" w:color="auto" w:sz="4" w:space="0"/>
              <w:right w:val="single" w:color="auto" w:sz="4" w:space="0"/>
            </w:tcBorders>
            <w:shd w:val="clear" w:color="auto" w:fill="auto"/>
            <w:vAlign w:val="center"/>
          </w:tcPr>
          <w:p w14:paraId="79371EDB">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w:t>
            </w:r>
            <w:r>
              <w:rPr>
                <w:rFonts w:hint="eastAsia" w:ascii="Times New Roman" w:hAnsi="Times New Roman" w:eastAsia="宋体" w:cs="Times New Roman"/>
                <w:color w:val="auto"/>
                <w:kern w:val="0"/>
                <w:sz w:val="13"/>
                <w:szCs w:val="13"/>
                <w:highlight w:val="none"/>
                <w:lang w:val="en-US" w:eastAsia="zh-CN"/>
              </w:rPr>
              <w:t xml:space="preserve"> 32,841.62</w:t>
            </w:r>
            <w:r>
              <w:rPr>
                <w:rFonts w:ascii="Times New Roman" w:hAnsi="Times New Roman" w:eastAsia="宋体" w:cs="Times New Roman"/>
                <w:color w:val="auto"/>
                <w:kern w:val="0"/>
                <w:sz w:val="13"/>
                <w:szCs w:val="13"/>
                <w:highlight w:val="none"/>
              </w:rPr>
              <w:t>万元</w:t>
            </w:r>
          </w:p>
        </w:tc>
        <w:tc>
          <w:tcPr>
            <w:tcW w:w="543" w:type="pct"/>
            <w:vMerge w:val="continue"/>
            <w:tcBorders>
              <w:top w:val="single" w:color="auto" w:sz="4" w:space="0"/>
              <w:left w:val="single" w:color="auto" w:sz="4" w:space="0"/>
              <w:bottom w:val="single" w:color="auto" w:sz="4" w:space="0"/>
              <w:right w:val="single" w:color="auto" w:sz="4" w:space="0"/>
            </w:tcBorders>
            <w:vAlign w:val="center"/>
          </w:tcPr>
          <w:p w14:paraId="3358E189">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898" w:type="pct"/>
            <w:gridSpan w:val="2"/>
            <w:tcBorders>
              <w:top w:val="single" w:color="auto" w:sz="4" w:space="0"/>
              <w:left w:val="nil"/>
              <w:bottom w:val="single" w:color="auto" w:sz="4" w:space="0"/>
              <w:right w:val="single" w:color="000000" w:sz="4" w:space="0"/>
            </w:tcBorders>
            <w:shd w:val="clear" w:color="auto" w:fill="auto"/>
            <w:vAlign w:val="center"/>
          </w:tcPr>
          <w:p w14:paraId="1E6DD225">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指标3：项目运营成本</w:t>
            </w:r>
          </w:p>
        </w:tc>
        <w:tc>
          <w:tcPr>
            <w:tcW w:w="809" w:type="pct"/>
            <w:tcBorders>
              <w:top w:val="nil"/>
              <w:left w:val="nil"/>
              <w:bottom w:val="single" w:color="auto" w:sz="4" w:space="0"/>
              <w:right w:val="single" w:color="auto" w:sz="4" w:space="0"/>
            </w:tcBorders>
            <w:shd w:val="clear" w:color="auto" w:fill="auto"/>
            <w:vAlign w:val="center"/>
          </w:tcPr>
          <w:p w14:paraId="62328528">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202</w:t>
            </w:r>
            <w:r>
              <w:rPr>
                <w:rFonts w:hint="eastAsia" w:ascii="Times New Roman" w:hAnsi="Times New Roman" w:eastAsia="宋体" w:cs="Times New Roman"/>
                <w:color w:val="auto"/>
                <w:kern w:val="0"/>
                <w:sz w:val="13"/>
                <w:szCs w:val="13"/>
                <w:highlight w:val="none"/>
                <w:lang w:val="en-US" w:eastAsia="zh-CN"/>
              </w:rPr>
              <w:t>4</w:t>
            </w:r>
            <w:r>
              <w:rPr>
                <w:rFonts w:ascii="Times New Roman" w:hAnsi="Times New Roman" w:eastAsia="宋体" w:cs="Times New Roman"/>
                <w:color w:val="auto"/>
                <w:kern w:val="0"/>
                <w:sz w:val="13"/>
                <w:szCs w:val="13"/>
                <w:highlight w:val="none"/>
              </w:rPr>
              <w:t>年未运营</w:t>
            </w:r>
          </w:p>
        </w:tc>
      </w:tr>
      <w:tr w14:paraId="7ECFFA50">
        <w:tblPrEx>
          <w:tblCellMar>
            <w:top w:w="0" w:type="dxa"/>
            <w:left w:w="108" w:type="dxa"/>
            <w:bottom w:w="0" w:type="dxa"/>
            <w:right w:w="108" w:type="dxa"/>
          </w:tblCellMar>
        </w:tblPrEx>
        <w:trPr>
          <w:trHeight w:val="696" w:hRule="atLeast"/>
        </w:trPr>
        <w:tc>
          <w:tcPr>
            <w:tcW w:w="235" w:type="pct"/>
            <w:vMerge w:val="continue"/>
            <w:tcBorders>
              <w:top w:val="nil"/>
              <w:left w:val="single" w:color="auto" w:sz="4" w:space="0"/>
              <w:bottom w:val="single" w:color="auto" w:sz="4" w:space="0"/>
              <w:right w:val="single" w:color="auto" w:sz="4" w:space="0"/>
            </w:tcBorders>
            <w:vAlign w:val="center"/>
          </w:tcPr>
          <w:p w14:paraId="3021B1D4">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296" w:type="pct"/>
            <w:vMerge w:val="continue"/>
            <w:tcBorders>
              <w:top w:val="single" w:color="auto" w:sz="4" w:space="0"/>
              <w:left w:val="single" w:color="auto" w:sz="4" w:space="0"/>
              <w:bottom w:val="single" w:color="auto" w:sz="4" w:space="0"/>
              <w:right w:val="single" w:color="auto" w:sz="4" w:space="0"/>
            </w:tcBorders>
            <w:vAlign w:val="center"/>
          </w:tcPr>
          <w:p w14:paraId="5552AA69">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445" w:type="pct"/>
            <w:tcBorders>
              <w:top w:val="single" w:color="auto" w:sz="4" w:space="0"/>
              <w:left w:val="nil"/>
              <w:bottom w:val="single" w:color="auto" w:sz="4" w:space="0"/>
              <w:right w:val="single" w:color="auto" w:sz="4" w:space="0"/>
            </w:tcBorders>
            <w:shd w:val="clear" w:color="auto" w:fill="auto"/>
            <w:vAlign w:val="center"/>
          </w:tcPr>
          <w:p w14:paraId="05028F9A">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预算执行</w:t>
            </w:r>
          </w:p>
          <w:p w14:paraId="6A21D64C">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w:t>
            </w:r>
          </w:p>
        </w:tc>
        <w:tc>
          <w:tcPr>
            <w:tcW w:w="962" w:type="pct"/>
            <w:tcBorders>
              <w:top w:val="nil"/>
              <w:left w:val="nil"/>
              <w:bottom w:val="single" w:color="auto" w:sz="4" w:space="0"/>
              <w:right w:val="single" w:color="auto" w:sz="4" w:space="0"/>
            </w:tcBorders>
            <w:shd w:val="clear" w:color="auto" w:fill="auto"/>
            <w:vAlign w:val="center"/>
          </w:tcPr>
          <w:p w14:paraId="7E4C6685">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指标1：债券资金实际支出</w:t>
            </w:r>
          </w:p>
        </w:tc>
        <w:tc>
          <w:tcPr>
            <w:tcW w:w="808" w:type="pct"/>
            <w:tcBorders>
              <w:top w:val="nil"/>
              <w:left w:val="nil"/>
              <w:bottom w:val="single" w:color="auto" w:sz="4" w:space="0"/>
              <w:right w:val="single" w:color="auto" w:sz="4" w:space="0"/>
            </w:tcBorders>
            <w:shd w:val="clear" w:color="auto" w:fill="auto"/>
            <w:vAlign w:val="center"/>
          </w:tcPr>
          <w:p w14:paraId="507088C9">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w:t>
            </w:r>
            <w:r>
              <w:rPr>
                <w:rFonts w:hint="eastAsia" w:ascii="Times New Roman" w:hAnsi="Times New Roman" w:eastAsia="宋体" w:cs="Times New Roman"/>
                <w:color w:val="auto"/>
                <w:kern w:val="0"/>
                <w:sz w:val="13"/>
                <w:szCs w:val="13"/>
                <w:highlight w:val="none"/>
                <w:lang w:val="en-US" w:eastAsia="zh-CN"/>
              </w:rPr>
              <w:t>40,000.00</w:t>
            </w:r>
            <w:r>
              <w:rPr>
                <w:rFonts w:ascii="Times New Roman" w:hAnsi="Times New Roman" w:eastAsia="宋体" w:cs="Times New Roman"/>
                <w:color w:val="auto"/>
                <w:kern w:val="0"/>
                <w:sz w:val="13"/>
                <w:szCs w:val="13"/>
                <w:highlight w:val="none"/>
              </w:rPr>
              <w:t>万元</w:t>
            </w:r>
          </w:p>
        </w:tc>
        <w:tc>
          <w:tcPr>
            <w:tcW w:w="543" w:type="pct"/>
            <w:tcBorders>
              <w:top w:val="nil"/>
              <w:left w:val="nil"/>
              <w:bottom w:val="nil"/>
              <w:right w:val="single" w:color="auto" w:sz="4" w:space="0"/>
            </w:tcBorders>
            <w:shd w:val="clear" w:color="auto" w:fill="auto"/>
            <w:vAlign w:val="center"/>
          </w:tcPr>
          <w:p w14:paraId="7B37E441">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预算执行</w:t>
            </w:r>
          </w:p>
          <w:p w14:paraId="54B421E8">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w:t>
            </w:r>
          </w:p>
        </w:tc>
        <w:tc>
          <w:tcPr>
            <w:tcW w:w="898" w:type="pct"/>
            <w:gridSpan w:val="2"/>
            <w:tcBorders>
              <w:top w:val="single" w:color="auto" w:sz="4" w:space="0"/>
              <w:left w:val="nil"/>
              <w:bottom w:val="single" w:color="auto" w:sz="4" w:space="0"/>
              <w:right w:val="single" w:color="000000" w:sz="4" w:space="0"/>
            </w:tcBorders>
            <w:shd w:val="clear" w:color="auto" w:fill="auto"/>
            <w:vAlign w:val="center"/>
          </w:tcPr>
          <w:p w14:paraId="231CD896">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指标1：债券资金实际支出</w:t>
            </w:r>
          </w:p>
        </w:tc>
        <w:tc>
          <w:tcPr>
            <w:tcW w:w="809" w:type="pct"/>
            <w:tcBorders>
              <w:top w:val="nil"/>
              <w:left w:val="nil"/>
              <w:bottom w:val="single" w:color="auto" w:sz="4" w:space="0"/>
              <w:right w:val="single" w:color="auto" w:sz="4" w:space="0"/>
            </w:tcBorders>
            <w:shd w:val="clear" w:color="auto" w:fill="auto"/>
            <w:vAlign w:val="center"/>
          </w:tcPr>
          <w:p w14:paraId="631F7592">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w:t>
            </w:r>
            <w:r>
              <w:rPr>
                <w:rFonts w:hint="eastAsia" w:ascii="Times New Roman" w:hAnsi="Times New Roman" w:eastAsia="宋体" w:cs="Times New Roman"/>
                <w:color w:val="auto"/>
                <w:kern w:val="0"/>
                <w:sz w:val="13"/>
                <w:szCs w:val="13"/>
                <w:highlight w:val="none"/>
                <w:lang w:val="en-US" w:eastAsia="zh-CN"/>
              </w:rPr>
              <w:t>10,000.00</w:t>
            </w:r>
            <w:r>
              <w:rPr>
                <w:rFonts w:ascii="Times New Roman" w:hAnsi="Times New Roman" w:eastAsia="宋体" w:cs="Times New Roman"/>
                <w:color w:val="auto"/>
                <w:kern w:val="0"/>
                <w:sz w:val="13"/>
                <w:szCs w:val="13"/>
                <w:highlight w:val="none"/>
              </w:rPr>
              <w:t>万元</w:t>
            </w:r>
          </w:p>
        </w:tc>
      </w:tr>
      <w:tr w14:paraId="7ABECF59">
        <w:tblPrEx>
          <w:tblCellMar>
            <w:top w:w="0" w:type="dxa"/>
            <w:left w:w="108" w:type="dxa"/>
            <w:bottom w:w="0" w:type="dxa"/>
            <w:right w:w="108" w:type="dxa"/>
          </w:tblCellMar>
        </w:tblPrEx>
        <w:trPr>
          <w:trHeight w:val="696" w:hRule="atLeast"/>
        </w:trPr>
        <w:tc>
          <w:tcPr>
            <w:tcW w:w="235" w:type="pct"/>
            <w:vMerge w:val="continue"/>
            <w:tcBorders>
              <w:top w:val="nil"/>
              <w:left w:val="single" w:color="auto" w:sz="4" w:space="0"/>
              <w:bottom w:val="single" w:color="auto" w:sz="4" w:space="0"/>
              <w:right w:val="single" w:color="auto" w:sz="4" w:space="0"/>
            </w:tcBorders>
            <w:vAlign w:val="center"/>
          </w:tcPr>
          <w:p w14:paraId="79252011">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296" w:type="pct"/>
            <w:vMerge w:val="restart"/>
            <w:tcBorders>
              <w:top w:val="nil"/>
              <w:left w:val="single" w:color="auto" w:sz="4" w:space="0"/>
              <w:bottom w:val="single" w:color="auto" w:sz="4" w:space="0"/>
              <w:right w:val="single" w:color="auto" w:sz="4" w:space="0"/>
            </w:tcBorders>
            <w:shd w:val="clear" w:color="auto" w:fill="auto"/>
            <w:vAlign w:val="center"/>
          </w:tcPr>
          <w:p w14:paraId="7C867105">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效</w:t>
            </w:r>
          </w:p>
          <w:p w14:paraId="75DE77C1">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益</w:t>
            </w:r>
          </w:p>
          <w:p w14:paraId="0B97364D">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w:t>
            </w:r>
          </w:p>
          <w:p w14:paraId="4727DECB">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标</w:t>
            </w:r>
          </w:p>
        </w:tc>
        <w:tc>
          <w:tcPr>
            <w:tcW w:w="445" w:type="pct"/>
            <w:tcBorders>
              <w:top w:val="nil"/>
              <w:left w:val="nil"/>
              <w:bottom w:val="nil"/>
              <w:right w:val="single" w:color="auto" w:sz="4" w:space="0"/>
            </w:tcBorders>
            <w:shd w:val="clear" w:color="auto" w:fill="auto"/>
            <w:vAlign w:val="center"/>
          </w:tcPr>
          <w:p w14:paraId="19C8FDB0">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经济效益</w:t>
            </w:r>
          </w:p>
          <w:p w14:paraId="00E82E04">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w:t>
            </w:r>
          </w:p>
        </w:tc>
        <w:tc>
          <w:tcPr>
            <w:tcW w:w="962" w:type="pct"/>
            <w:tcBorders>
              <w:top w:val="nil"/>
              <w:left w:val="nil"/>
              <w:bottom w:val="single" w:color="auto" w:sz="4" w:space="0"/>
              <w:right w:val="single" w:color="auto" w:sz="4" w:space="0"/>
            </w:tcBorders>
            <w:shd w:val="clear" w:color="auto" w:fill="auto"/>
            <w:vAlign w:val="center"/>
          </w:tcPr>
          <w:p w14:paraId="4F737C34">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指标1：项目总收入</w:t>
            </w:r>
          </w:p>
        </w:tc>
        <w:tc>
          <w:tcPr>
            <w:tcW w:w="808" w:type="pct"/>
            <w:tcBorders>
              <w:top w:val="nil"/>
              <w:left w:val="nil"/>
              <w:bottom w:val="single" w:color="auto" w:sz="4" w:space="0"/>
              <w:right w:val="single" w:color="auto" w:sz="4" w:space="0"/>
            </w:tcBorders>
            <w:shd w:val="clear" w:color="auto" w:fill="auto"/>
            <w:vAlign w:val="center"/>
          </w:tcPr>
          <w:p w14:paraId="0BBF4EB2">
            <w:pPr>
              <w:widowControl/>
              <w:spacing w:before="0" w:after="0" w:line="0" w:lineRule="atLeast"/>
              <w:ind w:firstLine="0" w:firstLineChars="0"/>
              <w:jc w:val="center"/>
              <w:rPr>
                <w:rFonts w:hint="default" w:ascii="Times New Roman" w:hAnsi="Times New Roman" w:eastAsia="宋体" w:cs="Times New Roman"/>
                <w:color w:val="auto"/>
                <w:kern w:val="0"/>
                <w:sz w:val="13"/>
                <w:szCs w:val="13"/>
                <w:highlight w:val="none"/>
                <w:lang w:val="en-US" w:eastAsia="zh-CN"/>
              </w:rPr>
            </w:pPr>
            <w:r>
              <w:rPr>
                <w:rFonts w:hint="eastAsia" w:ascii="Times New Roman" w:hAnsi="Times New Roman" w:eastAsia="宋体" w:cs="Times New Roman"/>
                <w:color w:val="auto"/>
                <w:kern w:val="0"/>
                <w:sz w:val="13"/>
                <w:szCs w:val="13"/>
                <w:highlight w:val="none"/>
              </w:rPr>
              <w:t xml:space="preserve"> 145,995.10  </w:t>
            </w:r>
          </w:p>
        </w:tc>
        <w:tc>
          <w:tcPr>
            <w:tcW w:w="543" w:type="pct"/>
            <w:tcBorders>
              <w:top w:val="single" w:color="auto" w:sz="4" w:space="0"/>
              <w:left w:val="nil"/>
              <w:bottom w:val="nil"/>
              <w:right w:val="single" w:color="auto" w:sz="4" w:space="0"/>
            </w:tcBorders>
            <w:shd w:val="clear" w:color="auto" w:fill="auto"/>
            <w:vAlign w:val="center"/>
          </w:tcPr>
          <w:p w14:paraId="74C5BB2E">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经济效益</w:t>
            </w:r>
          </w:p>
          <w:p w14:paraId="3DC8D4E6">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w:t>
            </w:r>
          </w:p>
        </w:tc>
        <w:tc>
          <w:tcPr>
            <w:tcW w:w="898" w:type="pct"/>
            <w:gridSpan w:val="2"/>
            <w:tcBorders>
              <w:top w:val="single" w:color="auto" w:sz="4" w:space="0"/>
              <w:left w:val="nil"/>
              <w:bottom w:val="single" w:color="auto" w:sz="4" w:space="0"/>
              <w:right w:val="single" w:color="000000" w:sz="4" w:space="0"/>
            </w:tcBorders>
            <w:shd w:val="clear" w:color="auto" w:fill="auto"/>
            <w:vAlign w:val="center"/>
          </w:tcPr>
          <w:p w14:paraId="1747C1F7">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指标1：项目总收入</w:t>
            </w:r>
          </w:p>
        </w:tc>
        <w:tc>
          <w:tcPr>
            <w:tcW w:w="809" w:type="pct"/>
            <w:tcBorders>
              <w:top w:val="nil"/>
              <w:left w:val="nil"/>
              <w:bottom w:val="single" w:color="auto" w:sz="4" w:space="0"/>
              <w:right w:val="single" w:color="auto" w:sz="4" w:space="0"/>
            </w:tcBorders>
            <w:shd w:val="clear" w:color="auto" w:fill="auto"/>
            <w:vAlign w:val="center"/>
          </w:tcPr>
          <w:p w14:paraId="7FF63D11">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202</w:t>
            </w:r>
            <w:r>
              <w:rPr>
                <w:rFonts w:hint="eastAsia" w:ascii="Times New Roman" w:hAnsi="Times New Roman" w:eastAsia="宋体" w:cs="Times New Roman"/>
                <w:color w:val="auto"/>
                <w:kern w:val="0"/>
                <w:sz w:val="13"/>
                <w:szCs w:val="13"/>
                <w:highlight w:val="none"/>
                <w:lang w:val="en-US" w:eastAsia="zh-CN"/>
              </w:rPr>
              <w:t>5</w:t>
            </w:r>
            <w:r>
              <w:rPr>
                <w:rFonts w:ascii="Times New Roman" w:hAnsi="Times New Roman" w:eastAsia="宋体" w:cs="Times New Roman"/>
                <w:color w:val="auto"/>
                <w:kern w:val="0"/>
                <w:sz w:val="13"/>
                <w:szCs w:val="13"/>
                <w:highlight w:val="none"/>
              </w:rPr>
              <w:t>年无收入</w:t>
            </w:r>
          </w:p>
        </w:tc>
      </w:tr>
      <w:tr w14:paraId="7EDE5671">
        <w:tblPrEx>
          <w:tblCellMar>
            <w:top w:w="0" w:type="dxa"/>
            <w:left w:w="108" w:type="dxa"/>
            <w:bottom w:w="0" w:type="dxa"/>
            <w:right w:w="108" w:type="dxa"/>
          </w:tblCellMar>
        </w:tblPrEx>
        <w:trPr>
          <w:trHeight w:val="696" w:hRule="atLeast"/>
        </w:trPr>
        <w:tc>
          <w:tcPr>
            <w:tcW w:w="235" w:type="pct"/>
            <w:vMerge w:val="continue"/>
            <w:tcBorders>
              <w:top w:val="nil"/>
              <w:left w:val="single" w:color="auto" w:sz="4" w:space="0"/>
              <w:bottom w:val="single" w:color="auto" w:sz="4" w:space="0"/>
              <w:right w:val="single" w:color="auto" w:sz="4" w:space="0"/>
            </w:tcBorders>
            <w:vAlign w:val="center"/>
          </w:tcPr>
          <w:p w14:paraId="6EF46663">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296" w:type="pct"/>
            <w:vMerge w:val="continue"/>
            <w:tcBorders>
              <w:top w:val="nil"/>
              <w:left w:val="single" w:color="auto" w:sz="4" w:space="0"/>
              <w:bottom w:val="single" w:color="auto" w:sz="4" w:space="0"/>
              <w:right w:val="single" w:color="auto" w:sz="4" w:space="0"/>
            </w:tcBorders>
            <w:vAlign w:val="center"/>
          </w:tcPr>
          <w:p w14:paraId="3ED7A0BD">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445" w:type="pct"/>
            <w:tcBorders>
              <w:top w:val="single" w:color="auto" w:sz="4" w:space="0"/>
              <w:left w:val="nil"/>
              <w:bottom w:val="nil"/>
              <w:right w:val="single" w:color="auto" w:sz="4" w:space="0"/>
            </w:tcBorders>
            <w:shd w:val="clear" w:color="auto" w:fill="auto"/>
            <w:vAlign w:val="center"/>
          </w:tcPr>
          <w:p w14:paraId="6E926F4F">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社会效益</w:t>
            </w:r>
          </w:p>
          <w:p w14:paraId="0375FE3F">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w:t>
            </w:r>
          </w:p>
        </w:tc>
        <w:tc>
          <w:tcPr>
            <w:tcW w:w="962" w:type="pct"/>
            <w:tcBorders>
              <w:top w:val="nil"/>
              <w:left w:val="nil"/>
              <w:bottom w:val="single" w:color="auto" w:sz="4" w:space="0"/>
              <w:right w:val="single" w:color="auto" w:sz="4" w:space="0"/>
            </w:tcBorders>
            <w:shd w:val="clear" w:color="auto" w:fill="auto"/>
            <w:vAlign w:val="center"/>
          </w:tcPr>
          <w:p w14:paraId="796D7BCA">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指标1：</w:t>
            </w:r>
            <w:r>
              <w:rPr>
                <w:rFonts w:hint="eastAsia" w:ascii="Times New Roman" w:hAnsi="Times New Roman" w:eastAsia="宋体" w:cs="Times New Roman"/>
                <w:color w:val="auto"/>
                <w:kern w:val="0"/>
                <w:sz w:val="13"/>
                <w:szCs w:val="13"/>
                <w:highlight w:val="none"/>
              </w:rPr>
              <w:t>改善</w:t>
            </w:r>
            <w:r>
              <w:rPr>
                <w:rFonts w:hint="eastAsia" w:ascii="Times New Roman" w:hAnsi="Times New Roman" w:eastAsia="宋体" w:cs="Times New Roman"/>
                <w:color w:val="auto"/>
                <w:kern w:val="0"/>
                <w:sz w:val="13"/>
                <w:szCs w:val="13"/>
                <w:highlight w:val="none"/>
                <w:lang w:val="en-US" w:eastAsia="zh-CN"/>
              </w:rPr>
              <w:t>城市形象，完善城市功能</w:t>
            </w:r>
          </w:p>
        </w:tc>
        <w:tc>
          <w:tcPr>
            <w:tcW w:w="808" w:type="pct"/>
            <w:tcBorders>
              <w:top w:val="nil"/>
              <w:left w:val="nil"/>
              <w:bottom w:val="single" w:color="auto" w:sz="4" w:space="0"/>
              <w:right w:val="single" w:color="auto" w:sz="4" w:space="0"/>
            </w:tcBorders>
            <w:shd w:val="clear" w:color="auto" w:fill="auto"/>
            <w:vAlign w:val="center"/>
          </w:tcPr>
          <w:p w14:paraId="5BEE2E13">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达成预期目标</w:t>
            </w:r>
          </w:p>
        </w:tc>
        <w:tc>
          <w:tcPr>
            <w:tcW w:w="543" w:type="pct"/>
            <w:tcBorders>
              <w:top w:val="single" w:color="auto" w:sz="4" w:space="0"/>
              <w:left w:val="nil"/>
              <w:bottom w:val="nil"/>
              <w:right w:val="single" w:color="auto" w:sz="4" w:space="0"/>
            </w:tcBorders>
            <w:shd w:val="clear" w:color="auto" w:fill="auto"/>
            <w:vAlign w:val="center"/>
          </w:tcPr>
          <w:p w14:paraId="20D0D215">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社会效益</w:t>
            </w:r>
          </w:p>
          <w:p w14:paraId="14B35978">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w:t>
            </w:r>
          </w:p>
        </w:tc>
        <w:tc>
          <w:tcPr>
            <w:tcW w:w="898" w:type="pct"/>
            <w:gridSpan w:val="2"/>
            <w:tcBorders>
              <w:top w:val="single" w:color="auto" w:sz="4" w:space="0"/>
              <w:left w:val="nil"/>
              <w:bottom w:val="single" w:color="auto" w:sz="4" w:space="0"/>
              <w:right w:val="single" w:color="000000" w:sz="4" w:space="0"/>
            </w:tcBorders>
            <w:shd w:val="clear" w:color="auto" w:fill="auto"/>
            <w:vAlign w:val="center"/>
          </w:tcPr>
          <w:p w14:paraId="66198868">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指标1：</w:t>
            </w:r>
            <w:r>
              <w:rPr>
                <w:rFonts w:hint="eastAsia" w:ascii="Times New Roman" w:hAnsi="Times New Roman" w:eastAsia="宋体" w:cs="Times New Roman"/>
                <w:color w:val="auto"/>
                <w:kern w:val="0"/>
                <w:sz w:val="13"/>
                <w:szCs w:val="13"/>
                <w:highlight w:val="none"/>
              </w:rPr>
              <w:t>改善</w:t>
            </w:r>
            <w:r>
              <w:rPr>
                <w:rFonts w:hint="eastAsia" w:ascii="Times New Roman" w:hAnsi="Times New Roman" w:eastAsia="宋体" w:cs="Times New Roman"/>
                <w:color w:val="auto"/>
                <w:kern w:val="0"/>
                <w:sz w:val="13"/>
                <w:szCs w:val="13"/>
                <w:highlight w:val="none"/>
                <w:lang w:val="en-US" w:eastAsia="zh-CN"/>
              </w:rPr>
              <w:t>城市形象，完善城市功能</w:t>
            </w:r>
          </w:p>
        </w:tc>
        <w:tc>
          <w:tcPr>
            <w:tcW w:w="809" w:type="pct"/>
            <w:tcBorders>
              <w:top w:val="nil"/>
              <w:left w:val="nil"/>
              <w:bottom w:val="single" w:color="auto" w:sz="4" w:space="0"/>
              <w:right w:val="single" w:color="auto" w:sz="4" w:space="0"/>
            </w:tcBorders>
            <w:shd w:val="clear" w:color="auto" w:fill="auto"/>
            <w:vAlign w:val="center"/>
          </w:tcPr>
          <w:p w14:paraId="7C1726C4">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达成预期目标</w:t>
            </w:r>
          </w:p>
        </w:tc>
      </w:tr>
      <w:tr w14:paraId="1F15316D">
        <w:tblPrEx>
          <w:tblCellMar>
            <w:top w:w="0" w:type="dxa"/>
            <w:left w:w="108" w:type="dxa"/>
            <w:bottom w:w="0" w:type="dxa"/>
            <w:right w:w="108" w:type="dxa"/>
          </w:tblCellMar>
        </w:tblPrEx>
        <w:trPr>
          <w:trHeight w:val="696" w:hRule="atLeast"/>
        </w:trPr>
        <w:tc>
          <w:tcPr>
            <w:tcW w:w="235" w:type="pct"/>
            <w:vMerge w:val="continue"/>
            <w:tcBorders>
              <w:top w:val="nil"/>
              <w:left w:val="single" w:color="auto" w:sz="4" w:space="0"/>
              <w:bottom w:val="single" w:color="auto" w:sz="4" w:space="0"/>
              <w:right w:val="single" w:color="auto" w:sz="4" w:space="0"/>
            </w:tcBorders>
            <w:vAlign w:val="center"/>
          </w:tcPr>
          <w:p w14:paraId="64CABB5F">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296" w:type="pct"/>
            <w:vMerge w:val="continue"/>
            <w:tcBorders>
              <w:top w:val="nil"/>
              <w:left w:val="single" w:color="auto" w:sz="4" w:space="0"/>
              <w:bottom w:val="single" w:color="auto" w:sz="4" w:space="0"/>
              <w:right w:val="single" w:color="auto" w:sz="4" w:space="0"/>
            </w:tcBorders>
            <w:vAlign w:val="center"/>
          </w:tcPr>
          <w:p w14:paraId="47783BE9">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445" w:type="pct"/>
            <w:tcBorders>
              <w:top w:val="single" w:color="auto" w:sz="4" w:space="0"/>
              <w:left w:val="nil"/>
              <w:bottom w:val="nil"/>
              <w:right w:val="single" w:color="auto" w:sz="4" w:space="0"/>
            </w:tcBorders>
            <w:shd w:val="clear" w:color="auto" w:fill="auto"/>
            <w:vAlign w:val="center"/>
          </w:tcPr>
          <w:p w14:paraId="2864FFD2">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生态效益</w:t>
            </w:r>
          </w:p>
          <w:p w14:paraId="23B79DF3">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w:t>
            </w:r>
          </w:p>
        </w:tc>
        <w:tc>
          <w:tcPr>
            <w:tcW w:w="962" w:type="pct"/>
            <w:tcBorders>
              <w:top w:val="nil"/>
              <w:left w:val="nil"/>
              <w:bottom w:val="single" w:color="auto" w:sz="4" w:space="0"/>
              <w:right w:val="single" w:color="auto" w:sz="4" w:space="0"/>
            </w:tcBorders>
            <w:shd w:val="clear" w:color="auto" w:fill="auto"/>
            <w:vAlign w:val="center"/>
          </w:tcPr>
          <w:p w14:paraId="6A9DB0C2">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w:t>
            </w:r>
            <w:r>
              <w:rPr>
                <w:rFonts w:hint="eastAsia" w:ascii="Times New Roman" w:hAnsi="Times New Roman" w:eastAsia="宋体" w:cs="Times New Roman"/>
                <w:color w:val="auto"/>
                <w:kern w:val="0"/>
                <w:sz w:val="13"/>
                <w:szCs w:val="13"/>
                <w:highlight w:val="none"/>
                <w:lang w:val="en-US" w:eastAsia="zh-CN"/>
              </w:rPr>
              <w:t>2</w:t>
            </w:r>
            <w:r>
              <w:rPr>
                <w:rFonts w:ascii="Times New Roman" w:hAnsi="Times New Roman" w:eastAsia="宋体" w:cs="Times New Roman"/>
                <w:color w:val="auto"/>
                <w:kern w:val="0"/>
                <w:sz w:val="13"/>
                <w:szCs w:val="13"/>
                <w:highlight w:val="none"/>
              </w:rPr>
              <w:t>：</w:t>
            </w:r>
            <w:bookmarkStart w:id="161" w:name="OLE_LINK2"/>
            <w:r>
              <w:rPr>
                <w:rFonts w:hint="eastAsia" w:ascii="Times New Roman" w:hAnsi="Times New Roman" w:eastAsia="宋体" w:cs="Times New Roman"/>
                <w:color w:val="auto"/>
                <w:kern w:val="0"/>
                <w:sz w:val="13"/>
                <w:szCs w:val="13"/>
                <w:highlight w:val="none"/>
              </w:rPr>
              <w:t>解决</w:t>
            </w:r>
            <w:r>
              <w:rPr>
                <w:rFonts w:hint="eastAsia" w:ascii="Times New Roman" w:hAnsi="Times New Roman" w:eastAsia="宋体" w:cs="Times New Roman"/>
                <w:color w:val="auto"/>
                <w:kern w:val="0"/>
                <w:sz w:val="13"/>
                <w:szCs w:val="13"/>
                <w:highlight w:val="none"/>
                <w:lang w:val="en-US" w:eastAsia="zh-CN"/>
              </w:rPr>
              <w:t>老旧小区污水处理</w:t>
            </w:r>
            <w:r>
              <w:rPr>
                <w:rFonts w:hint="eastAsia" w:ascii="Times New Roman" w:hAnsi="Times New Roman" w:eastAsia="宋体" w:cs="Times New Roman"/>
                <w:color w:val="auto"/>
                <w:kern w:val="0"/>
                <w:sz w:val="13"/>
                <w:szCs w:val="13"/>
                <w:highlight w:val="none"/>
              </w:rPr>
              <w:t>问题</w:t>
            </w:r>
            <w:bookmarkEnd w:id="161"/>
          </w:p>
        </w:tc>
        <w:tc>
          <w:tcPr>
            <w:tcW w:w="808" w:type="pct"/>
            <w:tcBorders>
              <w:top w:val="nil"/>
              <w:left w:val="nil"/>
              <w:bottom w:val="single" w:color="auto" w:sz="4" w:space="0"/>
              <w:right w:val="single" w:color="auto" w:sz="4" w:space="0"/>
            </w:tcBorders>
            <w:shd w:val="clear" w:color="auto" w:fill="auto"/>
            <w:vAlign w:val="center"/>
          </w:tcPr>
          <w:p w14:paraId="7DB081DD">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达成预期目标</w:t>
            </w:r>
          </w:p>
        </w:tc>
        <w:tc>
          <w:tcPr>
            <w:tcW w:w="543" w:type="pct"/>
            <w:tcBorders>
              <w:top w:val="single" w:color="auto" w:sz="4" w:space="0"/>
              <w:left w:val="nil"/>
              <w:bottom w:val="nil"/>
              <w:right w:val="single" w:color="auto" w:sz="4" w:space="0"/>
            </w:tcBorders>
            <w:shd w:val="clear" w:color="auto" w:fill="auto"/>
            <w:vAlign w:val="center"/>
          </w:tcPr>
          <w:p w14:paraId="6A79D2A8">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生态效益</w:t>
            </w:r>
          </w:p>
          <w:p w14:paraId="3F0978AA">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w:t>
            </w:r>
          </w:p>
        </w:tc>
        <w:tc>
          <w:tcPr>
            <w:tcW w:w="898" w:type="pct"/>
            <w:gridSpan w:val="2"/>
            <w:tcBorders>
              <w:top w:val="single" w:color="auto" w:sz="4" w:space="0"/>
              <w:left w:val="nil"/>
              <w:bottom w:val="single" w:color="auto" w:sz="4" w:space="0"/>
              <w:right w:val="single" w:color="000000" w:sz="4" w:space="0"/>
            </w:tcBorders>
            <w:shd w:val="clear" w:color="auto" w:fill="auto"/>
            <w:vAlign w:val="center"/>
          </w:tcPr>
          <w:p w14:paraId="708B2C70">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w:t>
            </w:r>
            <w:r>
              <w:rPr>
                <w:rFonts w:hint="eastAsia" w:ascii="Times New Roman" w:hAnsi="Times New Roman" w:eastAsia="宋体" w:cs="Times New Roman"/>
                <w:color w:val="auto"/>
                <w:kern w:val="0"/>
                <w:sz w:val="13"/>
                <w:szCs w:val="13"/>
                <w:highlight w:val="none"/>
                <w:lang w:val="en-US" w:eastAsia="zh-CN"/>
              </w:rPr>
              <w:t>2</w:t>
            </w:r>
            <w:r>
              <w:rPr>
                <w:rFonts w:ascii="Times New Roman" w:hAnsi="Times New Roman" w:eastAsia="宋体" w:cs="Times New Roman"/>
                <w:color w:val="auto"/>
                <w:kern w:val="0"/>
                <w:sz w:val="13"/>
                <w:szCs w:val="13"/>
                <w:highlight w:val="none"/>
              </w:rPr>
              <w:t>：</w:t>
            </w:r>
            <w:r>
              <w:rPr>
                <w:rFonts w:hint="eastAsia" w:ascii="Times New Roman" w:hAnsi="Times New Roman" w:eastAsia="宋体" w:cs="Times New Roman"/>
                <w:color w:val="auto"/>
                <w:kern w:val="0"/>
                <w:sz w:val="13"/>
                <w:szCs w:val="13"/>
                <w:highlight w:val="none"/>
              </w:rPr>
              <w:t>解决</w:t>
            </w:r>
            <w:r>
              <w:rPr>
                <w:rFonts w:hint="eastAsia" w:ascii="Times New Roman" w:hAnsi="Times New Roman" w:eastAsia="宋体" w:cs="Times New Roman"/>
                <w:color w:val="auto"/>
                <w:kern w:val="0"/>
                <w:sz w:val="13"/>
                <w:szCs w:val="13"/>
                <w:highlight w:val="none"/>
                <w:lang w:val="en-US" w:eastAsia="zh-CN"/>
              </w:rPr>
              <w:t>老旧小区污水处理</w:t>
            </w:r>
            <w:r>
              <w:rPr>
                <w:rFonts w:hint="eastAsia" w:ascii="Times New Roman" w:hAnsi="Times New Roman" w:eastAsia="宋体" w:cs="Times New Roman"/>
                <w:color w:val="auto"/>
                <w:kern w:val="0"/>
                <w:sz w:val="13"/>
                <w:szCs w:val="13"/>
                <w:highlight w:val="none"/>
              </w:rPr>
              <w:t>问题</w:t>
            </w:r>
          </w:p>
        </w:tc>
        <w:tc>
          <w:tcPr>
            <w:tcW w:w="809" w:type="pct"/>
            <w:tcBorders>
              <w:top w:val="nil"/>
              <w:left w:val="nil"/>
              <w:bottom w:val="single" w:color="auto" w:sz="4" w:space="0"/>
              <w:right w:val="single" w:color="auto" w:sz="4" w:space="0"/>
            </w:tcBorders>
            <w:shd w:val="clear" w:color="auto" w:fill="auto"/>
            <w:vAlign w:val="center"/>
          </w:tcPr>
          <w:p w14:paraId="79C708AE">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达成预期目标</w:t>
            </w:r>
          </w:p>
        </w:tc>
      </w:tr>
      <w:tr w14:paraId="3EB2FCCC">
        <w:tblPrEx>
          <w:tblCellMar>
            <w:top w:w="0" w:type="dxa"/>
            <w:left w:w="108" w:type="dxa"/>
            <w:bottom w:w="0" w:type="dxa"/>
            <w:right w:w="108" w:type="dxa"/>
          </w:tblCellMar>
        </w:tblPrEx>
        <w:trPr>
          <w:trHeight w:val="348" w:hRule="atLeast"/>
        </w:trPr>
        <w:tc>
          <w:tcPr>
            <w:tcW w:w="235" w:type="pct"/>
            <w:vMerge w:val="continue"/>
            <w:tcBorders>
              <w:top w:val="nil"/>
              <w:left w:val="single" w:color="auto" w:sz="4" w:space="0"/>
              <w:bottom w:val="single" w:color="auto" w:sz="4" w:space="0"/>
              <w:right w:val="single" w:color="auto" w:sz="4" w:space="0"/>
            </w:tcBorders>
            <w:vAlign w:val="center"/>
          </w:tcPr>
          <w:p w14:paraId="6A3A823E">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296" w:type="pct"/>
            <w:vMerge w:val="continue"/>
            <w:tcBorders>
              <w:top w:val="nil"/>
              <w:left w:val="single" w:color="auto" w:sz="4" w:space="0"/>
              <w:bottom w:val="single" w:color="auto" w:sz="4" w:space="0"/>
              <w:right w:val="single" w:color="auto" w:sz="4" w:space="0"/>
            </w:tcBorders>
            <w:vAlign w:val="center"/>
          </w:tcPr>
          <w:p w14:paraId="390DAA4A">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445" w:type="pct"/>
            <w:vMerge w:val="restart"/>
            <w:tcBorders>
              <w:top w:val="single" w:color="auto" w:sz="4" w:space="0"/>
              <w:left w:val="single" w:color="auto" w:sz="4" w:space="0"/>
              <w:bottom w:val="nil"/>
              <w:right w:val="single" w:color="auto" w:sz="4" w:space="0"/>
            </w:tcBorders>
            <w:shd w:val="clear" w:color="auto" w:fill="auto"/>
            <w:vAlign w:val="center"/>
          </w:tcPr>
          <w:p w14:paraId="31239D29">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可持续影响</w:t>
            </w:r>
          </w:p>
          <w:p w14:paraId="01FEA055">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w:t>
            </w:r>
          </w:p>
        </w:tc>
        <w:tc>
          <w:tcPr>
            <w:tcW w:w="962" w:type="pct"/>
            <w:tcBorders>
              <w:top w:val="nil"/>
              <w:left w:val="nil"/>
              <w:bottom w:val="single" w:color="auto" w:sz="4" w:space="0"/>
              <w:right w:val="single" w:color="auto" w:sz="4" w:space="0"/>
            </w:tcBorders>
            <w:shd w:val="clear" w:color="auto" w:fill="auto"/>
            <w:vAlign w:val="center"/>
          </w:tcPr>
          <w:p w14:paraId="2CA3DCEE">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指标1：运营期限</w:t>
            </w:r>
          </w:p>
        </w:tc>
        <w:tc>
          <w:tcPr>
            <w:tcW w:w="808" w:type="pct"/>
            <w:tcBorders>
              <w:top w:val="nil"/>
              <w:left w:val="nil"/>
              <w:bottom w:val="single" w:color="auto" w:sz="4" w:space="0"/>
              <w:right w:val="single" w:color="auto" w:sz="4" w:space="0"/>
            </w:tcBorders>
            <w:shd w:val="clear" w:color="auto" w:fill="auto"/>
            <w:vAlign w:val="center"/>
          </w:tcPr>
          <w:p w14:paraId="0DEFE83C">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hint="eastAsia" w:ascii="宋体" w:hAnsi="宋体" w:eastAsia="宋体" w:cs="宋体"/>
                <w:color w:val="auto"/>
                <w:kern w:val="0"/>
                <w:sz w:val="13"/>
                <w:szCs w:val="13"/>
                <w:highlight w:val="none"/>
              </w:rPr>
              <w:t>≧</w:t>
            </w:r>
            <w:r>
              <w:rPr>
                <w:rFonts w:hint="eastAsia" w:ascii="宋体" w:hAnsi="宋体" w:eastAsia="宋体" w:cs="宋体"/>
                <w:color w:val="auto"/>
                <w:kern w:val="0"/>
                <w:sz w:val="13"/>
                <w:szCs w:val="13"/>
                <w:highlight w:val="none"/>
                <w:lang w:val="en-US" w:eastAsia="zh-CN"/>
              </w:rPr>
              <w:t>20</w:t>
            </w:r>
            <w:r>
              <w:rPr>
                <w:rFonts w:ascii="Times New Roman" w:hAnsi="Times New Roman" w:eastAsia="宋体" w:cs="Times New Roman"/>
                <w:color w:val="auto"/>
                <w:kern w:val="0"/>
                <w:sz w:val="13"/>
                <w:szCs w:val="13"/>
                <w:highlight w:val="none"/>
              </w:rPr>
              <w:t>年</w:t>
            </w:r>
          </w:p>
        </w:tc>
        <w:tc>
          <w:tcPr>
            <w:tcW w:w="543" w:type="pct"/>
            <w:vMerge w:val="restart"/>
            <w:tcBorders>
              <w:top w:val="single" w:color="auto" w:sz="4" w:space="0"/>
              <w:left w:val="single" w:color="auto" w:sz="4" w:space="0"/>
              <w:bottom w:val="nil"/>
              <w:right w:val="single" w:color="auto" w:sz="4" w:space="0"/>
            </w:tcBorders>
            <w:shd w:val="clear" w:color="auto" w:fill="auto"/>
            <w:vAlign w:val="center"/>
          </w:tcPr>
          <w:p w14:paraId="78E306B7">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可持续影响</w:t>
            </w:r>
          </w:p>
          <w:p w14:paraId="51322A29">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w:t>
            </w:r>
          </w:p>
        </w:tc>
        <w:tc>
          <w:tcPr>
            <w:tcW w:w="898" w:type="pct"/>
            <w:gridSpan w:val="2"/>
            <w:tcBorders>
              <w:top w:val="single" w:color="auto" w:sz="4" w:space="0"/>
              <w:left w:val="nil"/>
              <w:bottom w:val="single" w:color="auto" w:sz="4" w:space="0"/>
              <w:right w:val="single" w:color="000000" w:sz="4" w:space="0"/>
            </w:tcBorders>
            <w:shd w:val="clear" w:color="auto" w:fill="auto"/>
            <w:vAlign w:val="center"/>
          </w:tcPr>
          <w:p w14:paraId="7386A06D">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指标1：运营期限</w:t>
            </w:r>
          </w:p>
        </w:tc>
        <w:tc>
          <w:tcPr>
            <w:tcW w:w="809" w:type="pct"/>
            <w:tcBorders>
              <w:top w:val="nil"/>
              <w:left w:val="nil"/>
              <w:bottom w:val="single" w:color="auto" w:sz="4" w:space="0"/>
              <w:right w:val="single" w:color="auto" w:sz="4" w:space="0"/>
            </w:tcBorders>
            <w:shd w:val="clear" w:color="auto" w:fill="auto"/>
            <w:vAlign w:val="center"/>
          </w:tcPr>
          <w:p w14:paraId="4952CF13">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hint="eastAsia" w:ascii="宋体" w:hAnsi="宋体" w:eastAsia="宋体" w:cs="宋体"/>
                <w:color w:val="auto"/>
                <w:kern w:val="0"/>
                <w:sz w:val="13"/>
                <w:szCs w:val="13"/>
                <w:highlight w:val="none"/>
              </w:rPr>
              <w:t>≧</w:t>
            </w:r>
            <w:r>
              <w:rPr>
                <w:rFonts w:hint="eastAsia" w:ascii="宋体" w:hAnsi="宋体" w:eastAsia="宋体" w:cs="宋体"/>
                <w:color w:val="auto"/>
                <w:kern w:val="0"/>
                <w:sz w:val="13"/>
                <w:szCs w:val="13"/>
                <w:highlight w:val="none"/>
                <w:lang w:val="en-US" w:eastAsia="zh-CN"/>
              </w:rPr>
              <w:t>20</w:t>
            </w:r>
            <w:r>
              <w:rPr>
                <w:rFonts w:ascii="Times New Roman" w:hAnsi="Times New Roman" w:eastAsia="宋体" w:cs="Times New Roman"/>
                <w:color w:val="auto"/>
                <w:kern w:val="0"/>
                <w:sz w:val="13"/>
                <w:szCs w:val="13"/>
                <w:highlight w:val="none"/>
              </w:rPr>
              <w:t>年</w:t>
            </w:r>
          </w:p>
        </w:tc>
      </w:tr>
      <w:tr w14:paraId="3DF1057E">
        <w:tblPrEx>
          <w:tblCellMar>
            <w:top w:w="0" w:type="dxa"/>
            <w:left w:w="108" w:type="dxa"/>
            <w:bottom w:w="0" w:type="dxa"/>
            <w:right w:w="108" w:type="dxa"/>
          </w:tblCellMar>
        </w:tblPrEx>
        <w:trPr>
          <w:trHeight w:val="696" w:hRule="atLeast"/>
        </w:trPr>
        <w:tc>
          <w:tcPr>
            <w:tcW w:w="235" w:type="pct"/>
            <w:vMerge w:val="continue"/>
            <w:tcBorders>
              <w:top w:val="nil"/>
              <w:left w:val="single" w:color="auto" w:sz="4" w:space="0"/>
              <w:bottom w:val="single" w:color="auto" w:sz="4" w:space="0"/>
              <w:right w:val="single" w:color="auto" w:sz="4" w:space="0"/>
            </w:tcBorders>
            <w:vAlign w:val="center"/>
          </w:tcPr>
          <w:p w14:paraId="3138F042">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296" w:type="pct"/>
            <w:vMerge w:val="continue"/>
            <w:tcBorders>
              <w:top w:val="nil"/>
              <w:left w:val="single" w:color="auto" w:sz="4" w:space="0"/>
              <w:bottom w:val="single" w:color="auto" w:sz="4" w:space="0"/>
              <w:right w:val="single" w:color="auto" w:sz="4" w:space="0"/>
            </w:tcBorders>
            <w:vAlign w:val="center"/>
          </w:tcPr>
          <w:p w14:paraId="7F073793">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445" w:type="pct"/>
            <w:vMerge w:val="continue"/>
            <w:tcBorders>
              <w:top w:val="single" w:color="auto" w:sz="4" w:space="0"/>
              <w:left w:val="single" w:color="auto" w:sz="4" w:space="0"/>
              <w:bottom w:val="nil"/>
              <w:right w:val="single" w:color="auto" w:sz="4" w:space="0"/>
            </w:tcBorders>
            <w:vAlign w:val="center"/>
          </w:tcPr>
          <w:p w14:paraId="74545A7C">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962" w:type="pct"/>
            <w:tcBorders>
              <w:top w:val="nil"/>
              <w:left w:val="nil"/>
              <w:bottom w:val="single" w:color="auto" w:sz="4" w:space="0"/>
              <w:right w:val="single" w:color="auto" w:sz="4" w:space="0"/>
            </w:tcBorders>
            <w:shd w:val="clear" w:color="auto" w:fill="auto"/>
            <w:vAlign w:val="center"/>
          </w:tcPr>
          <w:p w14:paraId="021101AC">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指标2：推动区域全面协调发展</w:t>
            </w:r>
          </w:p>
        </w:tc>
        <w:tc>
          <w:tcPr>
            <w:tcW w:w="808" w:type="pct"/>
            <w:tcBorders>
              <w:top w:val="nil"/>
              <w:left w:val="nil"/>
              <w:bottom w:val="single" w:color="auto" w:sz="4" w:space="0"/>
              <w:right w:val="single" w:color="auto" w:sz="4" w:space="0"/>
            </w:tcBorders>
            <w:shd w:val="clear" w:color="auto" w:fill="auto"/>
            <w:vAlign w:val="center"/>
          </w:tcPr>
          <w:p w14:paraId="19667E3F">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达成预期目标</w:t>
            </w:r>
          </w:p>
        </w:tc>
        <w:tc>
          <w:tcPr>
            <w:tcW w:w="543" w:type="pct"/>
            <w:vMerge w:val="continue"/>
            <w:tcBorders>
              <w:top w:val="single" w:color="auto" w:sz="4" w:space="0"/>
              <w:left w:val="single" w:color="auto" w:sz="4" w:space="0"/>
              <w:bottom w:val="nil"/>
              <w:right w:val="single" w:color="auto" w:sz="4" w:space="0"/>
            </w:tcBorders>
            <w:vAlign w:val="center"/>
          </w:tcPr>
          <w:p w14:paraId="56337553">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898" w:type="pct"/>
            <w:gridSpan w:val="2"/>
            <w:tcBorders>
              <w:top w:val="single" w:color="auto" w:sz="4" w:space="0"/>
              <w:left w:val="nil"/>
              <w:bottom w:val="single" w:color="auto" w:sz="4" w:space="0"/>
              <w:right w:val="single" w:color="000000" w:sz="4" w:space="0"/>
            </w:tcBorders>
            <w:shd w:val="clear" w:color="auto" w:fill="auto"/>
            <w:vAlign w:val="center"/>
          </w:tcPr>
          <w:p w14:paraId="6AB7B563">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指标2：推动区域全面协调发展</w:t>
            </w:r>
          </w:p>
        </w:tc>
        <w:tc>
          <w:tcPr>
            <w:tcW w:w="809" w:type="pct"/>
            <w:tcBorders>
              <w:top w:val="nil"/>
              <w:left w:val="nil"/>
              <w:bottom w:val="single" w:color="auto" w:sz="4" w:space="0"/>
              <w:right w:val="single" w:color="auto" w:sz="4" w:space="0"/>
            </w:tcBorders>
            <w:shd w:val="clear" w:color="auto" w:fill="auto"/>
            <w:vAlign w:val="center"/>
          </w:tcPr>
          <w:p w14:paraId="3D1E605F">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达成预期目标</w:t>
            </w:r>
          </w:p>
        </w:tc>
      </w:tr>
      <w:tr w14:paraId="5F1B0B62">
        <w:tblPrEx>
          <w:tblCellMar>
            <w:top w:w="0" w:type="dxa"/>
            <w:left w:w="108" w:type="dxa"/>
            <w:bottom w:w="0" w:type="dxa"/>
            <w:right w:w="108" w:type="dxa"/>
          </w:tblCellMar>
        </w:tblPrEx>
        <w:trPr>
          <w:trHeight w:val="696" w:hRule="atLeast"/>
        </w:trPr>
        <w:tc>
          <w:tcPr>
            <w:tcW w:w="235" w:type="pct"/>
            <w:vMerge w:val="restart"/>
            <w:tcBorders>
              <w:top w:val="nil"/>
              <w:left w:val="single" w:color="auto" w:sz="4" w:space="0"/>
              <w:bottom w:val="single" w:color="auto" w:sz="4" w:space="0"/>
              <w:right w:val="single" w:color="auto" w:sz="4" w:space="0"/>
            </w:tcBorders>
            <w:shd w:val="clear" w:color="auto" w:fill="auto"/>
            <w:vAlign w:val="center"/>
          </w:tcPr>
          <w:p w14:paraId="0EC9A86A">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绩</w:t>
            </w:r>
          </w:p>
          <w:p w14:paraId="13DBAEA0">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效</w:t>
            </w:r>
          </w:p>
          <w:p w14:paraId="479D0EC0">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w:t>
            </w:r>
          </w:p>
          <w:p w14:paraId="42EA2820">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标</w:t>
            </w:r>
          </w:p>
        </w:tc>
        <w:tc>
          <w:tcPr>
            <w:tcW w:w="296" w:type="pct"/>
            <w:vMerge w:val="restart"/>
            <w:tcBorders>
              <w:top w:val="nil"/>
              <w:left w:val="single" w:color="auto" w:sz="4" w:space="0"/>
              <w:bottom w:val="single" w:color="auto" w:sz="4" w:space="0"/>
              <w:right w:val="single" w:color="auto" w:sz="4" w:space="0"/>
            </w:tcBorders>
            <w:shd w:val="clear" w:color="auto" w:fill="auto"/>
            <w:vAlign w:val="center"/>
          </w:tcPr>
          <w:p w14:paraId="504EED25">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效</w:t>
            </w:r>
          </w:p>
          <w:p w14:paraId="1CBCE963">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益</w:t>
            </w:r>
          </w:p>
          <w:p w14:paraId="701D103B">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w:t>
            </w:r>
          </w:p>
          <w:p w14:paraId="6899A02A">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标</w:t>
            </w:r>
          </w:p>
        </w:tc>
        <w:tc>
          <w:tcPr>
            <w:tcW w:w="445"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75CBF59F">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融资与收益平衡指标</w:t>
            </w:r>
          </w:p>
          <w:p w14:paraId="5553DEE8">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（含还本付息）</w:t>
            </w:r>
          </w:p>
        </w:tc>
        <w:tc>
          <w:tcPr>
            <w:tcW w:w="962" w:type="pct"/>
            <w:tcBorders>
              <w:top w:val="nil"/>
              <w:left w:val="nil"/>
              <w:bottom w:val="single" w:color="auto" w:sz="4" w:space="0"/>
              <w:right w:val="single" w:color="auto" w:sz="4" w:space="0"/>
            </w:tcBorders>
            <w:shd w:val="clear" w:color="auto" w:fill="auto"/>
            <w:vAlign w:val="center"/>
          </w:tcPr>
          <w:p w14:paraId="337F545B">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指标1：项目收益覆盖倍数</w:t>
            </w:r>
          </w:p>
        </w:tc>
        <w:tc>
          <w:tcPr>
            <w:tcW w:w="808" w:type="pct"/>
            <w:tcBorders>
              <w:top w:val="nil"/>
              <w:left w:val="nil"/>
              <w:bottom w:val="single" w:color="auto" w:sz="4" w:space="0"/>
              <w:right w:val="single" w:color="auto" w:sz="4" w:space="0"/>
            </w:tcBorders>
            <w:shd w:val="clear" w:color="auto" w:fill="auto"/>
            <w:vAlign w:val="center"/>
          </w:tcPr>
          <w:p w14:paraId="1AE023F8">
            <w:pPr>
              <w:widowControl/>
              <w:spacing w:before="0" w:after="0" w:line="0" w:lineRule="atLeast"/>
              <w:ind w:firstLine="0" w:firstLineChars="0"/>
              <w:jc w:val="center"/>
              <w:rPr>
                <w:rFonts w:hint="default" w:ascii="Times New Roman" w:hAnsi="Times New Roman" w:eastAsia="宋体" w:cs="Times New Roman"/>
                <w:color w:val="auto"/>
                <w:kern w:val="0"/>
                <w:sz w:val="13"/>
                <w:szCs w:val="13"/>
                <w:highlight w:val="none"/>
                <w:lang w:val="en-US" w:eastAsia="zh-CN"/>
              </w:rPr>
            </w:pPr>
            <w:r>
              <w:rPr>
                <w:rFonts w:ascii="Times New Roman" w:hAnsi="Times New Roman" w:eastAsia="宋体" w:cs="Times New Roman"/>
                <w:color w:val="auto"/>
                <w:kern w:val="0"/>
                <w:sz w:val="13"/>
                <w:szCs w:val="13"/>
                <w:highlight w:val="none"/>
              </w:rPr>
              <w:t>1.</w:t>
            </w:r>
            <w:r>
              <w:rPr>
                <w:rFonts w:hint="eastAsia" w:ascii="Times New Roman" w:hAnsi="Times New Roman" w:eastAsia="宋体" w:cs="Times New Roman"/>
                <w:color w:val="auto"/>
                <w:kern w:val="0"/>
                <w:sz w:val="13"/>
                <w:szCs w:val="13"/>
                <w:highlight w:val="none"/>
                <w:lang w:val="en-US" w:eastAsia="zh-CN"/>
              </w:rPr>
              <w:t>63</w:t>
            </w:r>
          </w:p>
        </w:tc>
        <w:tc>
          <w:tcPr>
            <w:tcW w:w="543"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5929D91D">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还本付息</w:t>
            </w:r>
          </w:p>
          <w:p w14:paraId="136893F0">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w:t>
            </w:r>
          </w:p>
        </w:tc>
        <w:tc>
          <w:tcPr>
            <w:tcW w:w="898" w:type="pct"/>
            <w:gridSpan w:val="2"/>
            <w:tcBorders>
              <w:top w:val="single" w:color="auto" w:sz="4" w:space="0"/>
              <w:left w:val="nil"/>
              <w:bottom w:val="single" w:color="auto" w:sz="4" w:space="0"/>
              <w:right w:val="single" w:color="auto" w:sz="4" w:space="0"/>
            </w:tcBorders>
            <w:shd w:val="clear" w:color="auto" w:fill="auto"/>
            <w:vAlign w:val="center"/>
          </w:tcPr>
          <w:p w14:paraId="5107272E">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指标1：项目收益覆盖倍数</w:t>
            </w:r>
          </w:p>
        </w:tc>
        <w:tc>
          <w:tcPr>
            <w:tcW w:w="809" w:type="pct"/>
            <w:tcBorders>
              <w:top w:val="nil"/>
              <w:left w:val="nil"/>
              <w:bottom w:val="single" w:color="auto" w:sz="4" w:space="0"/>
              <w:right w:val="single" w:color="auto" w:sz="4" w:space="0"/>
            </w:tcBorders>
            <w:shd w:val="clear" w:color="auto" w:fill="auto"/>
            <w:vAlign w:val="center"/>
          </w:tcPr>
          <w:p w14:paraId="6C9BAB9F">
            <w:pPr>
              <w:widowControl/>
              <w:spacing w:before="0" w:after="0" w:line="0" w:lineRule="atLeast"/>
              <w:ind w:firstLine="0" w:firstLineChars="0"/>
              <w:jc w:val="center"/>
              <w:rPr>
                <w:rFonts w:hint="eastAsia" w:ascii="Times New Roman" w:hAnsi="Times New Roman" w:eastAsia="宋体" w:cs="Times New Roman"/>
                <w:color w:val="auto"/>
                <w:kern w:val="0"/>
                <w:sz w:val="13"/>
                <w:szCs w:val="13"/>
                <w:highlight w:val="none"/>
                <w:lang w:val="en-US" w:eastAsia="zh-CN"/>
              </w:rPr>
            </w:pPr>
            <w:r>
              <w:rPr>
                <w:rFonts w:hint="eastAsia" w:ascii="Times New Roman" w:hAnsi="Times New Roman" w:eastAsia="宋体" w:cs="Times New Roman"/>
                <w:color w:val="auto"/>
                <w:kern w:val="0"/>
                <w:sz w:val="13"/>
                <w:szCs w:val="13"/>
                <w:highlight w:val="none"/>
                <w:lang w:val="en-US" w:eastAsia="zh-CN"/>
              </w:rPr>
              <w:t>不涉及</w:t>
            </w:r>
          </w:p>
        </w:tc>
      </w:tr>
      <w:tr w14:paraId="37E36D4B">
        <w:tblPrEx>
          <w:tblCellMar>
            <w:top w:w="0" w:type="dxa"/>
            <w:left w:w="108" w:type="dxa"/>
            <w:bottom w:w="0" w:type="dxa"/>
            <w:right w:w="108" w:type="dxa"/>
          </w:tblCellMar>
        </w:tblPrEx>
        <w:trPr>
          <w:trHeight w:val="348" w:hRule="atLeast"/>
        </w:trPr>
        <w:tc>
          <w:tcPr>
            <w:tcW w:w="235" w:type="pct"/>
            <w:vMerge w:val="continue"/>
            <w:tcBorders>
              <w:top w:val="nil"/>
              <w:left w:val="single" w:color="auto" w:sz="4" w:space="0"/>
              <w:bottom w:val="single" w:color="auto" w:sz="4" w:space="0"/>
              <w:right w:val="single" w:color="auto" w:sz="4" w:space="0"/>
            </w:tcBorders>
            <w:vAlign w:val="center"/>
          </w:tcPr>
          <w:p w14:paraId="425BF279">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296" w:type="pct"/>
            <w:vMerge w:val="continue"/>
            <w:tcBorders>
              <w:top w:val="nil"/>
              <w:left w:val="single" w:color="auto" w:sz="4" w:space="0"/>
              <w:bottom w:val="single" w:color="auto" w:sz="4" w:space="0"/>
              <w:right w:val="single" w:color="auto" w:sz="4" w:space="0"/>
            </w:tcBorders>
            <w:vAlign w:val="center"/>
          </w:tcPr>
          <w:p w14:paraId="6829EC9F">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445" w:type="pct"/>
            <w:vMerge w:val="continue"/>
            <w:tcBorders>
              <w:top w:val="single" w:color="auto" w:sz="4" w:space="0"/>
              <w:left w:val="single" w:color="auto" w:sz="4" w:space="0"/>
              <w:bottom w:val="single" w:color="auto" w:sz="4" w:space="0"/>
              <w:right w:val="single" w:color="auto" w:sz="4" w:space="0"/>
            </w:tcBorders>
            <w:vAlign w:val="center"/>
          </w:tcPr>
          <w:p w14:paraId="68D698F6">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962" w:type="pct"/>
            <w:tcBorders>
              <w:top w:val="nil"/>
              <w:left w:val="nil"/>
              <w:bottom w:val="single" w:color="auto" w:sz="4" w:space="0"/>
              <w:right w:val="single" w:color="auto" w:sz="4" w:space="0"/>
            </w:tcBorders>
            <w:shd w:val="clear" w:color="auto" w:fill="auto"/>
            <w:vAlign w:val="center"/>
          </w:tcPr>
          <w:p w14:paraId="03C9E5EE">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指标2：债券还本付息</w:t>
            </w:r>
          </w:p>
        </w:tc>
        <w:tc>
          <w:tcPr>
            <w:tcW w:w="808" w:type="pct"/>
            <w:tcBorders>
              <w:top w:val="nil"/>
              <w:left w:val="nil"/>
              <w:bottom w:val="single" w:color="auto" w:sz="4" w:space="0"/>
              <w:right w:val="single" w:color="auto" w:sz="4" w:space="0"/>
            </w:tcBorders>
            <w:shd w:val="clear" w:color="auto" w:fill="auto"/>
            <w:vAlign w:val="center"/>
          </w:tcPr>
          <w:p w14:paraId="78651738">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按时足额</w:t>
            </w:r>
          </w:p>
        </w:tc>
        <w:tc>
          <w:tcPr>
            <w:tcW w:w="543" w:type="pct"/>
            <w:vMerge w:val="continue"/>
            <w:tcBorders>
              <w:top w:val="single" w:color="auto" w:sz="4" w:space="0"/>
              <w:left w:val="single" w:color="auto" w:sz="4" w:space="0"/>
              <w:bottom w:val="single" w:color="auto" w:sz="4" w:space="0"/>
              <w:right w:val="single" w:color="auto" w:sz="4" w:space="0"/>
            </w:tcBorders>
            <w:vAlign w:val="center"/>
          </w:tcPr>
          <w:p w14:paraId="278DF62E">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898" w:type="pct"/>
            <w:gridSpan w:val="2"/>
            <w:tcBorders>
              <w:top w:val="single" w:color="auto" w:sz="4" w:space="0"/>
              <w:left w:val="nil"/>
              <w:bottom w:val="single" w:color="auto" w:sz="4" w:space="0"/>
              <w:right w:val="single" w:color="auto" w:sz="4" w:space="0"/>
            </w:tcBorders>
            <w:shd w:val="clear" w:color="auto" w:fill="auto"/>
            <w:vAlign w:val="center"/>
          </w:tcPr>
          <w:p w14:paraId="115389A2">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指标2：债券还本付息</w:t>
            </w:r>
          </w:p>
        </w:tc>
        <w:tc>
          <w:tcPr>
            <w:tcW w:w="809" w:type="pct"/>
            <w:tcBorders>
              <w:top w:val="nil"/>
              <w:left w:val="nil"/>
              <w:bottom w:val="single" w:color="auto" w:sz="4" w:space="0"/>
              <w:right w:val="single" w:color="auto" w:sz="4" w:space="0"/>
            </w:tcBorders>
            <w:shd w:val="clear" w:color="auto" w:fill="auto"/>
            <w:vAlign w:val="center"/>
          </w:tcPr>
          <w:p w14:paraId="266E7217">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按时足额</w:t>
            </w:r>
          </w:p>
        </w:tc>
      </w:tr>
      <w:tr w14:paraId="6BC1DDAA">
        <w:tblPrEx>
          <w:tblCellMar>
            <w:top w:w="0" w:type="dxa"/>
            <w:left w:w="108" w:type="dxa"/>
            <w:bottom w:w="0" w:type="dxa"/>
            <w:right w:w="108" w:type="dxa"/>
          </w:tblCellMar>
        </w:tblPrEx>
        <w:trPr>
          <w:trHeight w:val="936" w:hRule="atLeast"/>
        </w:trPr>
        <w:tc>
          <w:tcPr>
            <w:tcW w:w="235" w:type="pct"/>
            <w:vMerge w:val="continue"/>
            <w:tcBorders>
              <w:top w:val="nil"/>
              <w:left w:val="single" w:color="auto" w:sz="4" w:space="0"/>
              <w:bottom w:val="single" w:color="auto" w:sz="4" w:space="0"/>
              <w:right w:val="single" w:color="auto" w:sz="4" w:space="0"/>
            </w:tcBorders>
            <w:vAlign w:val="center"/>
          </w:tcPr>
          <w:p w14:paraId="4EB570E8">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296" w:type="pct"/>
            <w:vMerge w:val="continue"/>
            <w:tcBorders>
              <w:top w:val="nil"/>
              <w:left w:val="single" w:color="auto" w:sz="4" w:space="0"/>
              <w:bottom w:val="single" w:color="auto" w:sz="4" w:space="0"/>
              <w:right w:val="single" w:color="auto" w:sz="4" w:space="0"/>
            </w:tcBorders>
            <w:vAlign w:val="center"/>
          </w:tcPr>
          <w:p w14:paraId="5F1465D9">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445" w:type="pct"/>
            <w:vMerge w:val="continue"/>
            <w:tcBorders>
              <w:top w:val="single" w:color="auto" w:sz="4" w:space="0"/>
              <w:left w:val="single" w:color="auto" w:sz="4" w:space="0"/>
              <w:bottom w:val="single" w:color="auto" w:sz="4" w:space="0"/>
              <w:right w:val="single" w:color="auto" w:sz="4" w:space="0"/>
            </w:tcBorders>
            <w:vAlign w:val="center"/>
          </w:tcPr>
          <w:p w14:paraId="7DA6C4FA">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962" w:type="pct"/>
            <w:tcBorders>
              <w:top w:val="nil"/>
              <w:left w:val="nil"/>
              <w:bottom w:val="single" w:color="auto" w:sz="4" w:space="0"/>
              <w:right w:val="single" w:color="auto" w:sz="4" w:space="0"/>
            </w:tcBorders>
            <w:shd w:val="clear" w:color="auto" w:fill="auto"/>
            <w:vAlign w:val="center"/>
          </w:tcPr>
          <w:p w14:paraId="6A3AABF5">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指标3：还本付息资金来源</w:t>
            </w:r>
          </w:p>
        </w:tc>
        <w:tc>
          <w:tcPr>
            <w:tcW w:w="808" w:type="pct"/>
            <w:tcBorders>
              <w:top w:val="nil"/>
              <w:left w:val="nil"/>
              <w:bottom w:val="single" w:color="auto" w:sz="4" w:space="0"/>
              <w:right w:val="single" w:color="auto" w:sz="4" w:space="0"/>
            </w:tcBorders>
            <w:shd w:val="clear" w:color="auto" w:fill="auto"/>
            <w:vAlign w:val="center"/>
          </w:tcPr>
          <w:p w14:paraId="3446EC40">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项目运营收入</w:t>
            </w:r>
          </w:p>
        </w:tc>
        <w:tc>
          <w:tcPr>
            <w:tcW w:w="543" w:type="pct"/>
            <w:vMerge w:val="continue"/>
            <w:tcBorders>
              <w:top w:val="single" w:color="auto" w:sz="4" w:space="0"/>
              <w:left w:val="single" w:color="auto" w:sz="4" w:space="0"/>
              <w:bottom w:val="single" w:color="auto" w:sz="4" w:space="0"/>
              <w:right w:val="single" w:color="auto" w:sz="4" w:space="0"/>
            </w:tcBorders>
            <w:vAlign w:val="center"/>
          </w:tcPr>
          <w:p w14:paraId="6732A63C">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898" w:type="pct"/>
            <w:gridSpan w:val="2"/>
            <w:tcBorders>
              <w:top w:val="single" w:color="auto" w:sz="4" w:space="0"/>
              <w:left w:val="nil"/>
              <w:bottom w:val="single" w:color="auto" w:sz="4" w:space="0"/>
              <w:right w:val="single" w:color="auto" w:sz="4" w:space="0"/>
            </w:tcBorders>
            <w:shd w:val="clear" w:color="auto" w:fill="auto"/>
            <w:vAlign w:val="center"/>
          </w:tcPr>
          <w:p w14:paraId="350BAD79">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指标3：还本付息资金来源</w:t>
            </w:r>
          </w:p>
        </w:tc>
        <w:tc>
          <w:tcPr>
            <w:tcW w:w="809" w:type="pct"/>
            <w:tcBorders>
              <w:top w:val="nil"/>
              <w:left w:val="nil"/>
              <w:bottom w:val="single" w:color="auto" w:sz="4" w:space="0"/>
              <w:right w:val="single" w:color="auto" w:sz="4" w:space="0"/>
            </w:tcBorders>
            <w:shd w:val="clear" w:color="auto" w:fill="auto"/>
            <w:vAlign w:val="center"/>
          </w:tcPr>
          <w:p w14:paraId="0CFFDD97">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项目运营收入</w:t>
            </w:r>
          </w:p>
        </w:tc>
      </w:tr>
      <w:tr w14:paraId="1E36E736">
        <w:tblPrEx>
          <w:tblCellMar>
            <w:top w:w="0" w:type="dxa"/>
            <w:left w:w="108" w:type="dxa"/>
            <w:bottom w:w="0" w:type="dxa"/>
            <w:right w:w="108" w:type="dxa"/>
          </w:tblCellMar>
        </w:tblPrEx>
        <w:trPr>
          <w:trHeight w:val="1044" w:hRule="atLeast"/>
        </w:trPr>
        <w:tc>
          <w:tcPr>
            <w:tcW w:w="235" w:type="pct"/>
            <w:vMerge w:val="continue"/>
            <w:tcBorders>
              <w:top w:val="nil"/>
              <w:left w:val="single" w:color="auto" w:sz="4" w:space="0"/>
              <w:bottom w:val="single" w:color="auto" w:sz="4" w:space="0"/>
              <w:right w:val="single" w:color="auto" w:sz="4" w:space="0"/>
            </w:tcBorders>
            <w:vAlign w:val="center"/>
          </w:tcPr>
          <w:p w14:paraId="4DE0AAE3">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p>
        </w:tc>
        <w:tc>
          <w:tcPr>
            <w:tcW w:w="296" w:type="pct"/>
            <w:tcBorders>
              <w:top w:val="nil"/>
              <w:left w:val="nil"/>
              <w:bottom w:val="single" w:color="auto" w:sz="4" w:space="0"/>
              <w:right w:val="single" w:color="auto" w:sz="4" w:space="0"/>
            </w:tcBorders>
            <w:shd w:val="clear" w:color="auto" w:fill="auto"/>
            <w:vAlign w:val="center"/>
          </w:tcPr>
          <w:p w14:paraId="6E8936BD">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满意度指标</w:t>
            </w:r>
          </w:p>
        </w:tc>
        <w:tc>
          <w:tcPr>
            <w:tcW w:w="445" w:type="pct"/>
            <w:tcBorders>
              <w:top w:val="nil"/>
              <w:left w:val="nil"/>
              <w:bottom w:val="single" w:color="auto" w:sz="4" w:space="0"/>
              <w:right w:val="single" w:color="auto" w:sz="4" w:space="0"/>
            </w:tcBorders>
            <w:shd w:val="clear" w:color="auto" w:fill="auto"/>
            <w:vAlign w:val="center"/>
          </w:tcPr>
          <w:p w14:paraId="52431FE4">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服务对象</w:t>
            </w:r>
          </w:p>
          <w:p w14:paraId="73062065">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满意度指标</w:t>
            </w:r>
          </w:p>
        </w:tc>
        <w:tc>
          <w:tcPr>
            <w:tcW w:w="962" w:type="pct"/>
            <w:tcBorders>
              <w:top w:val="nil"/>
              <w:left w:val="nil"/>
              <w:bottom w:val="single" w:color="auto" w:sz="4" w:space="0"/>
              <w:right w:val="single" w:color="auto" w:sz="4" w:space="0"/>
            </w:tcBorders>
            <w:shd w:val="clear" w:color="auto" w:fill="auto"/>
            <w:vAlign w:val="center"/>
          </w:tcPr>
          <w:p w14:paraId="5C3BCBB1">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指标1：区域辐射人群满意度</w:t>
            </w:r>
          </w:p>
        </w:tc>
        <w:tc>
          <w:tcPr>
            <w:tcW w:w="808" w:type="pct"/>
            <w:tcBorders>
              <w:top w:val="nil"/>
              <w:left w:val="nil"/>
              <w:bottom w:val="single" w:color="auto" w:sz="4" w:space="0"/>
              <w:right w:val="single" w:color="auto" w:sz="4" w:space="0"/>
            </w:tcBorders>
            <w:shd w:val="clear" w:color="auto" w:fill="auto"/>
            <w:vAlign w:val="center"/>
          </w:tcPr>
          <w:p w14:paraId="0C2F542A">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hint="eastAsia" w:ascii="宋体" w:hAnsi="宋体" w:eastAsia="宋体" w:cs="宋体"/>
                <w:color w:val="auto"/>
                <w:kern w:val="0"/>
                <w:sz w:val="13"/>
                <w:szCs w:val="13"/>
                <w:highlight w:val="none"/>
              </w:rPr>
              <w:t>≧</w:t>
            </w:r>
            <w:r>
              <w:rPr>
                <w:rFonts w:ascii="Times New Roman" w:hAnsi="Times New Roman" w:eastAsia="宋体" w:cs="Times New Roman"/>
                <w:color w:val="auto"/>
                <w:kern w:val="0"/>
                <w:sz w:val="13"/>
                <w:szCs w:val="13"/>
                <w:highlight w:val="none"/>
              </w:rPr>
              <w:t>90%</w:t>
            </w:r>
          </w:p>
        </w:tc>
        <w:tc>
          <w:tcPr>
            <w:tcW w:w="543" w:type="pct"/>
            <w:tcBorders>
              <w:top w:val="nil"/>
              <w:left w:val="nil"/>
              <w:bottom w:val="single" w:color="auto" w:sz="4" w:space="0"/>
              <w:right w:val="single" w:color="auto" w:sz="4" w:space="0"/>
            </w:tcBorders>
            <w:shd w:val="clear" w:color="auto" w:fill="auto"/>
            <w:vAlign w:val="center"/>
          </w:tcPr>
          <w:p w14:paraId="7EBA4B90">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服务对象</w:t>
            </w:r>
          </w:p>
          <w:p w14:paraId="0745FCD8">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满意度指标</w:t>
            </w:r>
          </w:p>
        </w:tc>
        <w:tc>
          <w:tcPr>
            <w:tcW w:w="898" w:type="pct"/>
            <w:gridSpan w:val="2"/>
            <w:tcBorders>
              <w:top w:val="single" w:color="auto" w:sz="4" w:space="0"/>
              <w:left w:val="nil"/>
              <w:bottom w:val="single" w:color="auto" w:sz="4" w:space="0"/>
              <w:right w:val="single" w:color="auto" w:sz="4" w:space="0"/>
            </w:tcBorders>
            <w:shd w:val="clear" w:color="auto" w:fill="auto"/>
            <w:vAlign w:val="center"/>
          </w:tcPr>
          <w:p w14:paraId="0B31DB99">
            <w:pPr>
              <w:widowControl/>
              <w:spacing w:before="0" w:after="0" w:line="0" w:lineRule="atLeast"/>
              <w:ind w:firstLine="0" w:firstLineChars="0"/>
              <w:jc w:val="left"/>
              <w:rPr>
                <w:rFonts w:ascii="Times New Roman" w:hAnsi="Times New Roman" w:eastAsia="宋体" w:cs="Times New Roman"/>
                <w:color w:val="auto"/>
                <w:kern w:val="0"/>
                <w:sz w:val="13"/>
                <w:szCs w:val="13"/>
                <w:highlight w:val="none"/>
              </w:rPr>
            </w:pPr>
            <w:r>
              <w:rPr>
                <w:rFonts w:ascii="Times New Roman" w:hAnsi="Times New Roman" w:eastAsia="宋体" w:cs="Times New Roman"/>
                <w:color w:val="auto"/>
                <w:kern w:val="0"/>
                <w:sz w:val="13"/>
                <w:szCs w:val="13"/>
                <w:highlight w:val="none"/>
              </w:rPr>
              <w:t>指标1：区域辐射人群满意度</w:t>
            </w:r>
          </w:p>
        </w:tc>
        <w:tc>
          <w:tcPr>
            <w:tcW w:w="809" w:type="pct"/>
            <w:tcBorders>
              <w:top w:val="nil"/>
              <w:left w:val="nil"/>
              <w:bottom w:val="single" w:color="auto" w:sz="4" w:space="0"/>
              <w:right w:val="single" w:color="auto" w:sz="4" w:space="0"/>
            </w:tcBorders>
            <w:shd w:val="clear" w:color="auto" w:fill="auto"/>
            <w:vAlign w:val="center"/>
          </w:tcPr>
          <w:p w14:paraId="5AB4C59A">
            <w:pPr>
              <w:widowControl/>
              <w:spacing w:before="0" w:after="0" w:line="0" w:lineRule="atLeast"/>
              <w:ind w:firstLine="0" w:firstLineChars="0"/>
              <w:jc w:val="center"/>
              <w:rPr>
                <w:rFonts w:ascii="Times New Roman" w:hAnsi="Times New Roman" w:eastAsia="宋体" w:cs="Times New Roman"/>
                <w:color w:val="auto"/>
                <w:kern w:val="0"/>
                <w:sz w:val="13"/>
                <w:szCs w:val="13"/>
                <w:highlight w:val="none"/>
              </w:rPr>
            </w:pPr>
            <w:r>
              <w:rPr>
                <w:rFonts w:hint="eastAsia" w:ascii="宋体" w:hAnsi="宋体" w:eastAsia="宋体" w:cs="宋体"/>
                <w:color w:val="auto"/>
                <w:kern w:val="0"/>
                <w:sz w:val="13"/>
                <w:szCs w:val="13"/>
                <w:highlight w:val="none"/>
              </w:rPr>
              <w:t>≧</w:t>
            </w:r>
            <w:r>
              <w:rPr>
                <w:rFonts w:ascii="Times New Roman" w:hAnsi="Times New Roman" w:eastAsia="宋体" w:cs="Times New Roman"/>
                <w:color w:val="auto"/>
                <w:kern w:val="0"/>
                <w:sz w:val="13"/>
                <w:szCs w:val="13"/>
                <w:highlight w:val="none"/>
              </w:rPr>
              <w:t>90%</w:t>
            </w:r>
          </w:p>
        </w:tc>
      </w:tr>
    </w:tbl>
    <w:p w14:paraId="44390502">
      <w:pPr>
        <w:widowControl w:val="0"/>
        <w:bidi w:val="0"/>
        <w:adjustRightInd w:val="0"/>
        <w:snapToGrid w:val="0"/>
        <w:spacing w:line="360" w:lineRule="auto"/>
        <w:ind w:firstLine="0" w:firstLineChars="0"/>
        <w:jc w:val="center"/>
        <w:outlineLvl w:val="4"/>
        <w:rPr>
          <w:rFonts w:hint="eastAsia" w:ascii="Times New Roman" w:hAnsi="Times New Roman" w:eastAsia="仿宋" w:cs="Times New Roman"/>
          <w:b/>
          <w:bCs/>
          <w:kern w:val="2"/>
          <w:sz w:val="28"/>
          <w:szCs w:val="28"/>
          <w:lang w:val="en-US" w:eastAsia="zh-CN" w:bidi="ar-SA"/>
        </w:rPr>
      </w:pPr>
    </w:p>
    <w:p w14:paraId="70509BE3">
      <w:pPr>
        <w:widowControl w:val="0"/>
        <w:bidi w:val="0"/>
        <w:adjustRightInd w:val="0"/>
        <w:snapToGrid w:val="0"/>
        <w:spacing w:before="50" w:beforeLines="50" w:after="50" w:afterLines="50" w:line="360" w:lineRule="auto"/>
        <w:ind w:firstLine="480" w:firstLineChars="150"/>
        <w:jc w:val="left"/>
        <w:outlineLvl w:val="1"/>
        <w:rPr>
          <w:rFonts w:hint="eastAsia" w:ascii="Times New Roman" w:hAnsi="Times New Roman" w:eastAsia="黑体" w:cs="Times New Roman"/>
          <w:bCs/>
          <w:kern w:val="2"/>
          <w:sz w:val="32"/>
          <w:szCs w:val="32"/>
          <w:lang w:val="en-US" w:eastAsia="zh-CN" w:bidi="ar-SA"/>
        </w:rPr>
      </w:pPr>
      <w:r>
        <w:rPr>
          <w:rFonts w:hint="eastAsia" w:ascii="Times New Roman" w:hAnsi="Times New Roman" w:eastAsia="黑体" w:cs="Times New Roman"/>
          <w:bCs/>
          <w:kern w:val="2"/>
          <w:sz w:val="32"/>
          <w:szCs w:val="32"/>
          <w:lang w:val="en-US" w:eastAsia="zh-CN" w:bidi="ar-SA"/>
        </w:rPr>
        <w:t>六、潜在影响项目的风险评估</w:t>
      </w:r>
    </w:p>
    <w:p w14:paraId="5423C9AD">
      <w:pPr>
        <w:bidi w:val="0"/>
      </w:pPr>
      <w:r>
        <w:t>本项目是</w:t>
      </w:r>
      <w:r>
        <w:rPr>
          <w:rFonts w:hint="eastAsia"/>
          <w:lang w:val="en-US" w:eastAsia="zh-CN"/>
        </w:rPr>
        <w:t>老旧小区改造</w:t>
      </w:r>
      <w:r>
        <w:rPr>
          <w:rFonts w:hint="eastAsia"/>
        </w:rPr>
        <w:t>项目</w:t>
      </w:r>
      <w:r>
        <w:t>，涉及众多不同利益群体，且项目投资额度较大、参建各方涉及范围广，因此风险管理尤其必要。</w:t>
      </w:r>
    </w:p>
    <w:p w14:paraId="2F5B9CE5">
      <w:pPr>
        <w:bidi w:val="0"/>
      </w:pPr>
      <w:r>
        <w:t>业主单位专门组织专家进行了风险分析与识别，并制定了相应的风险防范措施。</w:t>
      </w:r>
    </w:p>
    <w:p w14:paraId="290CABA7">
      <w:pPr>
        <w:widowControl w:val="0"/>
        <w:bidi w:val="0"/>
        <w:adjustRightInd w:val="0"/>
        <w:snapToGrid w:val="0"/>
        <w:spacing w:line="360" w:lineRule="auto"/>
        <w:ind w:firstLine="602" w:firstLineChars="200"/>
        <w:jc w:val="both"/>
        <w:outlineLvl w:val="3"/>
        <w:rPr>
          <w:rFonts w:ascii="Times New Roman" w:hAnsi="Times New Roman" w:eastAsia="仿宋" w:cs="Times New Roman"/>
          <w:b/>
          <w:bCs/>
          <w:kern w:val="2"/>
          <w:sz w:val="30"/>
          <w:szCs w:val="28"/>
          <w:lang w:val="en-US" w:eastAsia="zh-CN" w:bidi="ar-SA"/>
        </w:rPr>
      </w:pPr>
      <w:bookmarkStart w:id="162" w:name="_Toc3107"/>
      <w:bookmarkStart w:id="163" w:name="_Toc13738"/>
      <w:bookmarkStart w:id="164" w:name="_Toc20475"/>
      <w:bookmarkStart w:id="165" w:name="_Toc16822"/>
      <w:bookmarkStart w:id="166" w:name="_Toc5625"/>
      <w:r>
        <w:rPr>
          <w:rFonts w:ascii="Times New Roman" w:hAnsi="Times New Roman" w:eastAsia="仿宋" w:cs="Times New Roman"/>
          <w:b/>
          <w:bCs/>
          <w:kern w:val="2"/>
          <w:sz w:val="30"/>
          <w:szCs w:val="28"/>
          <w:lang w:val="en-US" w:eastAsia="zh-CN" w:bidi="ar-SA"/>
        </w:rPr>
        <w:t>1.</w:t>
      </w:r>
      <w:r>
        <w:rPr>
          <w:rFonts w:hint="eastAsia" w:ascii="Times New Roman" w:hAnsi="Times New Roman" w:eastAsia="仿宋" w:cs="Times New Roman"/>
          <w:b/>
          <w:bCs/>
          <w:kern w:val="2"/>
          <w:sz w:val="30"/>
          <w:szCs w:val="28"/>
          <w:lang w:val="en-US" w:eastAsia="zh-CN" w:bidi="ar-SA"/>
        </w:rPr>
        <w:t>经营风险</w:t>
      </w:r>
      <w:bookmarkEnd w:id="162"/>
      <w:bookmarkEnd w:id="163"/>
      <w:bookmarkEnd w:id="164"/>
      <w:bookmarkEnd w:id="165"/>
      <w:bookmarkEnd w:id="166"/>
    </w:p>
    <w:p w14:paraId="52D8FC3C">
      <w:pPr>
        <w:bidi w:val="0"/>
      </w:pPr>
      <w:r>
        <w:rPr>
          <w:rFonts w:hint="eastAsia"/>
        </w:rPr>
        <w:t>风险识别：经营风险是指生产经营的不确定性带来的风险。若项目投入运营后的收入未能达到预测值，将影响项目整体收益，对债券还本付息产生影响。</w:t>
      </w:r>
    </w:p>
    <w:p w14:paraId="2E141DA5">
      <w:pPr>
        <w:bidi w:val="0"/>
      </w:pPr>
      <w:r>
        <w:rPr>
          <w:rFonts w:hint="eastAsia"/>
        </w:rPr>
        <w:t>风险控制措施：要求项目管理单位密切关注业务单价和业务量，根据实际调整运营成本及业务体系，保证还本付息资金。</w:t>
      </w:r>
    </w:p>
    <w:p w14:paraId="309A0CCD">
      <w:pPr>
        <w:widowControl w:val="0"/>
        <w:bidi w:val="0"/>
        <w:adjustRightInd w:val="0"/>
        <w:snapToGrid w:val="0"/>
        <w:spacing w:line="360" w:lineRule="auto"/>
        <w:ind w:firstLine="602" w:firstLineChars="200"/>
        <w:jc w:val="both"/>
        <w:outlineLvl w:val="3"/>
        <w:rPr>
          <w:rFonts w:ascii="Times New Roman" w:hAnsi="Times New Roman" w:eastAsia="仿宋" w:cs="Times New Roman"/>
          <w:b/>
          <w:bCs/>
          <w:kern w:val="2"/>
          <w:sz w:val="30"/>
          <w:szCs w:val="28"/>
          <w:lang w:val="en-US" w:eastAsia="zh-CN" w:bidi="ar-SA"/>
        </w:rPr>
      </w:pPr>
      <w:bookmarkStart w:id="167" w:name="_Toc0"/>
      <w:bookmarkStart w:id="168" w:name="_Toc3350"/>
      <w:bookmarkStart w:id="169" w:name="_Toc16031"/>
      <w:bookmarkStart w:id="170" w:name="_Toc14995"/>
      <w:bookmarkStart w:id="171" w:name="_Toc1304"/>
      <w:r>
        <w:rPr>
          <w:rFonts w:ascii="Times New Roman" w:hAnsi="Times New Roman" w:eastAsia="仿宋" w:cs="Times New Roman"/>
          <w:b/>
          <w:bCs/>
          <w:kern w:val="2"/>
          <w:sz w:val="30"/>
          <w:szCs w:val="28"/>
          <w:lang w:val="en-US" w:eastAsia="zh-CN" w:bidi="ar-SA"/>
        </w:rPr>
        <w:t>2.</w:t>
      </w:r>
      <w:r>
        <w:rPr>
          <w:rFonts w:hint="eastAsia" w:ascii="Times New Roman" w:hAnsi="Times New Roman" w:eastAsia="仿宋" w:cs="Times New Roman"/>
          <w:b/>
          <w:bCs/>
          <w:kern w:val="2"/>
          <w:sz w:val="30"/>
          <w:szCs w:val="28"/>
          <w:lang w:val="en-US" w:eastAsia="zh-CN" w:bidi="ar-SA"/>
        </w:rPr>
        <w:t>市场风险</w:t>
      </w:r>
      <w:bookmarkEnd w:id="167"/>
      <w:bookmarkEnd w:id="168"/>
      <w:bookmarkEnd w:id="169"/>
      <w:bookmarkEnd w:id="170"/>
      <w:bookmarkEnd w:id="171"/>
      <w:r>
        <w:rPr>
          <w:rFonts w:ascii="Times New Roman" w:hAnsi="Times New Roman" w:eastAsia="仿宋" w:cs="Times New Roman"/>
          <w:b/>
          <w:bCs/>
          <w:kern w:val="2"/>
          <w:sz w:val="30"/>
          <w:szCs w:val="28"/>
          <w:lang w:val="en-US" w:eastAsia="zh-CN" w:bidi="ar-SA"/>
        </w:rPr>
        <w:tab/>
      </w:r>
    </w:p>
    <w:p w14:paraId="16C96E37">
      <w:pPr>
        <w:bidi w:val="0"/>
      </w:pPr>
      <w:r>
        <w:rPr>
          <w:rFonts w:hint="eastAsia"/>
        </w:rPr>
        <w:t>风险识别：在专项债券存续期内，国际、国内宏观经济环境的变化，国家经济政策变动等因素会引起债务资本市场利率的波动，市场利率波动将会对本项目的财务成本产生一定影响，进而影响项目投资收益的平衡。</w:t>
      </w:r>
    </w:p>
    <w:p w14:paraId="0EE72E76">
      <w:pPr>
        <w:bidi w:val="0"/>
      </w:pPr>
      <w:r>
        <w:rPr>
          <w:rFonts w:hint="eastAsia"/>
        </w:rPr>
        <w:t>风险控制措施：要求项目单位合理安排债券发行金额和债券期限，做好债券的期限配比、还款计划和资金准备。</w:t>
      </w:r>
    </w:p>
    <w:p w14:paraId="36A25CC6">
      <w:pPr>
        <w:widowControl w:val="0"/>
        <w:bidi w:val="0"/>
        <w:adjustRightInd w:val="0"/>
        <w:snapToGrid w:val="0"/>
        <w:spacing w:line="360" w:lineRule="auto"/>
        <w:ind w:firstLine="602" w:firstLineChars="200"/>
        <w:jc w:val="both"/>
        <w:outlineLvl w:val="3"/>
        <w:rPr>
          <w:rFonts w:ascii="Times New Roman" w:hAnsi="Times New Roman" w:eastAsia="仿宋" w:cs="Times New Roman"/>
          <w:b/>
          <w:bCs/>
          <w:kern w:val="2"/>
          <w:sz w:val="30"/>
          <w:szCs w:val="28"/>
          <w:lang w:val="en-US" w:eastAsia="zh-CN" w:bidi="ar-SA"/>
        </w:rPr>
      </w:pPr>
      <w:bookmarkStart w:id="172" w:name="_Toc17379"/>
      <w:bookmarkStart w:id="173" w:name="_Toc24561"/>
      <w:bookmarkStart w:id="174" w:name="_Toc3003"/>
      <w:bookmarkStart w:id="175" w:name="_Toc15630"/>
      <w:bookmarkStart w:id="176" w:name="_Toc5916"/>
      <w:r>
        <w:rPr>
          <w:rFonts w:ascii="Times New Roman" w:hAnsi="Times New Roman" w:eastAsia="仿宋" w:cs="Times New Roman"/>
          <w:b/>
          <w:bCs/>
          <w:kern w:val="2"/>
          <w:sz w:val="30"/>
          <w:szCs w:val="28"/>
          <w:lang w:val="en-US" w:eastAsia="zh-CN" w:bidi="ar-SA"/>
        </w:rPr>
        <w:t>3.</w:t>
      </w:r>
      <w:r>
        <w:rPr>
          <w:rFonts w:hint="eastAsia" w:ascii="Times New Roman" w:hAnsi="Times New Roman" w:eastAsia="仿宋" w:cs="Times New Roman"/>
          <w:b/>
          <w:bCs/>
          <w:kern w:val="2"/>
          <w:sz w:val="30"/>
          <w:szCs w:val="28"/>
          <w:lang w:val="en-US" w:eastAsia="zh-CN" w:bidi="ar-SA"/>
        </w:rPr>
        <w:t>财务风险</w:t>
      </w:r>
      <w:bookmarkEnd w:id="172"/>
      <w:bookmarkEnd w:id="173"/>
      <w:bookmarkEnd w:id="174"/>
      <w:bookmarkEnd w:id="175"/>
      <w:bookmarkEnd w:id="176"/>
    </w:p>
    <w:p w14:paraId="4CB95448">
      <w:pPr>
        <w:bidi w:val="0"/>
      </w:pPr>
      <w:r>
        <w:rPr>
          <w:rFonts w:hint="eastAsia"/>
        </w:rPr>
        <w:t>风险识别：由于项目建设周期较长，如果在项目建设过程中，受市场因素影响，项目施工所需的原材料价格上涨，将导致项目施工成本增加，财务负担加重，进而影响项目建设进度，以及项目建设期内专项债券的利息兑付，因此面临一定财务风险。</w:t>
      </w:r>
    </w:p>
    <w:p w14:paraId="063D6CE8">
      <w:pPr>
        <w:bidi w:val="0"/>
        <w:rPr>
          <w:rFonts w:hint="eastAsia"/>
        </w:rPr>
      </w:pPr>
      <w:r>
        <w:rPr>
          <w:rFonts w:hint="eastAsia"/>
        </w:rPr>
        <w:t>风险控制措施：项目可行性研究报告编制过程中，在测算项目总投资时已考虑相关风险。同时，在项目建设过程中，加强项目施工预算管理、招标及合同管理，尽可能控制建设成本。</w:t>
      </w:r>
    </w:p>
    <w:p w14:paraId="51D6A817">
      <w:pPr>
        <w:pStyle w:val="3"/>
        <w:bidi w:val="0"/>
        <w:rPr>
          <w:rFonts w:hint="eastAsia"/>
        </w:rPr>
      </w:pPr>
      <w:r>
        <w:rPr>
          <w:rFonts w:hint="eastAsia"/>
        </w:rPr>
        <w:t>七、还款保障情况</w:t>
      </w:r>
    </w:p>
    <w:p w14:paraId="6E0BDC9E">
      <w:pPr>
        <w:bidi w:val="0"/>
      </w:pPr>
      <w:r>
        <w:rPr>
          <w:rFonts w:hint="eastAsia"/>
        </w:rPr>
        <w:t>按照《国务院办公厅关于印发地方政府性债务风险应急处置预案的通知》（国办函〔</w:t>
      </w:r>
      <w:r>
        <w:t>2016</w:t>
      </w:r>
      <w:r>
        <w:rPr>
          <w:rFonts w:hint="eastAsia"/>
        </w:rPr>
        <w:t>〕</w:t>
      </w:r>
      <w:r>
        <w:t>88</w:t>
      </w:r>
      <w:r>
        <w:rPr>
          <w:rFonts w:hint="eastAsia"/>
        </w:rPr>
        <w:t>号）规定，本级政府对地方政府债券依法承担全部偿还责任。本级财政将按照《财政部关于印发</w:t>
      </w:r>
      <w:r>
        <w:t>&lt;</w:t>
      </w:r>
      <w:r>
        <w:rPr>
          <w:rFonts w:hint="eastAsia"/>
        </w:rPr>
        <w:t>地方政府专项债务预算管理办法</w:t>
      </w:r>
      <w:r>
        <w:t>&gt;</w:t>
      </w:r>
      <w:r>
        <w:rPr>
          <w:rFonts w:hint="eastAsia"/>
        </w:rPr>
        <w:t>的通知》（财预〔</w:t>
      </w:r>
      <w:r>
        <w:t>2016</w:t>
      </w:r>
      <w:r>
        <w:rPr>
          <w:rFonts w:hint="eastAsia"/>
        </w:rPr>
        <w:t>〕</w:t>
      </w:r>
      <w:r>
        <w:t>155</w:t>
      </w:r>
      <w:r>
        <w:rPr>
          <w:rFonts w:hint="eastAsia"/>
        </w:rPr>
        <w:t>号）规定，及时按照转贷协议约定逐级向省财政缴纳本级应当承担的还本付息资金，由省财政按照合同约定及时偿还专项债券到期本息。如偿债出现困难，将通过调减投资计划、处置可变现资产、调整预算支出结构等方式筹集资金偿还债务。未按时足额向省财政缴纳专项债券还本付息资金的，省财政采取适当方式扣回。</w:t>
      </w:r>
    </w:p>
    <w:p w14:paraId="54024A6C">
      <w:pPr>
        <w:pStyle w:val="3"/>
        <w:bidi w:val="0"/>
        <w:rPr>
          <w:rFonts w:hint="eastAsia"/>
        </w:rPr>
      </w:pPr>
      <w:r>
        <w:rPr>
          <w:rFonts w:hint="eastAsia"/>
        </w:rPr>
        <w:t>八、主管部门和项目单位职责</w:t>
      </w:r>
    </w:p>
    <w:p w14:paraId="39E724F6">
      <w:pPr>
        <w:keepNext w:val="0"/>
        <w:keepLines w:val="0"/>
        <w:pageBreakBefore w:val="0"/>
        <w:widowControl w:val="0"/>
        <w:kinsoku/>
        <w:wordWrap/>
        <w:overflowPunct/>
        <w:topLinePunct w:val="0"/>
        <w:autoSpaceDE/>
        <w:autoSpaceDN/>
        <w:bidi w:val="0"/>
        <w:adjustRightInd w:val="0"/>
        <w:snapToGrid w:val="0"/>
        <w:textAlignment w:val="auto"/>
      </w:pPr>
      <w:r>
        <w:rPr>
          <w:rFonts w:hint="eastAsia"/>
        </w:rPr>
        <w:t>泸州市城南片区老旧小区改造及地下管网更新改造项目的主管部门为泸州市住房和城乡建设局，主管部门将会配合做好本地区项目收益专项债券发行准备工作，及时准确提供相关资料，配合做好信息披露、信用评级、资产评估等工作。项目运行过程中，主管部门将主动披露项目施工期间的施工进度、项目收益专项债券资金使用情况、项目运营期间的收支情况等信息。在债券资金管理方面，行业主管部门将会履行项目建设运营管理责任，加强成本控制，确保项目形成的专项收入应收尽收，并按照规定及时足额上交。年终时，行业主管部门配合财政部门编制项目收益债券收支决算，在政府性基金预算报告中全面、准确反映项目收益专项债券收入、支出、还本付息、发行费用、取得的收入等情况。债券对应资产管理方面，主管部门将会协同财政部门将各类项目收益专项债券对应项目形成的资产纳入国有资产管理，建立相应的资产登记和统计报告制度，加强资产日常统计和动态监控。</w:t>
      </w:r>
    </w:p>
    <w:p w14:paraId="6FA64735">
      <w:pPr>
        <w:keepNext w:val="0"/>
        <w:keepLines w:val="0"/>
        <w:pageBreakBefore w:val="0"/>
        <w:widowControl w:val="0"/>
        <w:kinsoku/>
        <w:wordWrap/>
        <w:overflowPunct/>
        <w:topLinePunct w:val="0"/>
        <w:autoSpaceDE/>
        <w:autoSpaceDN/>
        <w:bidi w:val="0"/>
        <w:adjustRightInd w:val="0"/>
        <w:snapToGrid w:val="0"/>
        <w:textAlignment w:val="auto"/>
        <w:rPr>
          <w:rFonts w:hint="eastAsia"/>
        </w:rPr>
      </w:pPr>
      <w:r>
        <w:rPr>
          <w:rFonts w:hint="eastAsia"/>
        </w:rPr>
        <w:t>本项目项目单位为泸州市政府投资建设工程管理第一中心，本项目的实施运营管理工作由泸州市政府投资建设工程管理第一中心负责，泸州市住房和城乡建设局对项目运营进行监管。保障项目资产在债券存续期内均能得到有效的使用和管理，发挥项目应有的公益性和经济性，按预期实现项目收益，保障专项债的还本付息。运营期资金实行统一管理，由财务单独立帐、核算，资金使用严格按计划进行，并接受上级有关部门的监督和检查。运营单位强化企业管理，创建现代化管理模式，从细节上规范、约束企业，使企业的管理体制逐步走上科学化的轨道，创造较好的企业效益和社会效益。从管理、技术、安全、生产等四个方面细化业务流程和标准，量化考核指标。通过推行精、准的规范和加强细、严的控制，运用科学管理方法和科技手段，全面推进项目规范化管理升级。运营单位认真分析有关单价变化的政策，不断挖掘项目自身的开发潜力，有效规避市场风险。抓好经营工作，实现互利共赢和取得良好的经济效益。运营单位做好记账、核算等基础工作，正确、及时、全面、真实地反映企业的经济活动，财产资金变化、成本费用开支和经营成果。通过建立和健全各种手续制度，如实反映资金活动的情况，按期进行财产清查，做到账账相符、账实相符。通过会计信息，不断改善经营管理，促进企业合理使用资金，降低费用水平，提高经济效益。</w:t>
      </w:r>
    </w:p>
    <w:p w14:paraId="602794BB">
      <w:pPr>
        <w:pStyle w:val="3"/>
        <w:bidi w:val="0"/>
        <w:rPr>
          <w:rFonts w:hint="eastAsia"/>
        </w:rPr>
      </w:pPr>
      <w:r>
        <w:rPr>
          <w:rFonts w:hint="eastAsia"/>
        </w:rPr>
        <w:t>九、补充说明</w:t>
      </w:r>
    </w:p>
    <w:p w14:paraId="6B28438A">
      <w:pPr>
        <w:bidi w:val="0"/>
        <w:rPr>
          <w:rFonts w:hint="eastAsia" w:eastAsia="仿宋"/>
          <w:lang w:eastAsia="zh-CN"/>
        </w:rPr>
      </w:pPr>
      <w:r>
        <w:rPr>
          <w:rFonts w:hint="eastAsia"/>
        </w:rPr>
        <w:t>根据发行计划及额度安排</w:t>
      </w:r>
      <w:r>
        <w:rPr>
          <w:rFonts w:hint="eastAsia"/>
          <w:lang w:eastAsia="zh-CN"/>
        </w:rPr>
        <w:t>，</w:t>
      </w:r>
      <w:r>
        <w:rPr>
          <w:rFonts w:hint="eastAsia"/>
        </w:rPr>
        <w:t>此项目2025年拟申请发行1</w:t>
      </w:r>
      <w:r>
        <w:rPr>
          <w:rFonts w:hint="eastAsia"/>
          <w:lang w:val="en-US" w:eastAsia="zh-CN"/>
        </w:rPr>
        <w:t>0</w:t>
      </w:r>
      <w:r>
        <w:rPr>
          <w:rFonts w:hint="eastAsia"/>
        </w:rPr>
        <w:t>000万元，已发行</w:t>
      </w:r>
      <w:r>
        <w:rPr>
          <w:rFonts w:hint="eastAsia"/>
          <w:lang w:val="en-US" w:eastAsia="zh-CN"/>
        </w:rPr>
        <w:t>4800</w:t>
      </w:r>
      <w:r>
        <w:rPr>
          <w:rFonts w:hint="eastAsia"/>
        </w:rPr>
        <w:t>万元，本次拟发行</w:t>
      </w:r>
      <w:r>
        <w:rPr>
          <w:rFonts w:hint="eastAsia"/>
          <w:lang w:val="en-US" w:eastAsia="zh-CN"/>
        </w:rPr>
        <w:t>13</w:t>
      </w:r>
      <w:r>
        <w:rPr>
          <w:rFonts w:hint="eastAsia"/>
        </w:rPr>
        <w:t>00万元，期限20年。</w:t>
      </w:r>
    </w:p>
    <w:p w14:paraId="58AFACCC">
      <w:pPr>
        <w:keepNext w:val="0"/>
        <w:keepLines w:val="0"/>
        <w:pageBreakBefore w:val="0"/>
        <w:widowControl w:val="0"/>
        <w:kinsoku/>
        <w:wordWrap/>
        <w:overflowPunct/>
        <w:topLinePunct w:val="0"/>
        <w:autoSpaceDE/>
        <w:autoSpaceDN/>
        <w:bidi w:val="0"/>
        <w:adjustRightInd w:val="0"/>
        <w:snapToGrid w:val="0"/>
        <w:textAlignment w:val="auto"/>
        <w:rPr>
          <w:rFonts w:hint="eastAsia"/>
        </w:rPr>
      </w:pPr>
    </w:p>
    <w:p w14:paraId="7F8811E6">
      <w:pPr>
        <w:bidi w:val="0"/>
        <w:ind w:left="0" w:leftChars="0" w:firstLine="0" w:firstLineChars="0"/>
        <w:rPr>
          <w:rFonts w:hint="eastAsia"/>
        </w:rPr>
      </w:pPr>
      <w:bookmarkStart w:id="177" w:name="_GoBack"/>
      <w:bookmarkEnd w:id="177"/>
    </w:p>
    <w:p w14:paraId="5817A5C7">
      <w:pPr>
        <w:widowControl w:val="0"/>
        <w:bidi w:val="0"/>
        <w:adjustRightInd w:val="0"/>
        <w:snapToGrid w:val="0"/>
        <w:spacing w:line="360" w:lineRule="auto"/>
        <w:ind w:firstLine="0" w:firstLineChars="0"/>
        <w:jc w:val="both"/>
        <w:outlineLvl w:val="4"/>
        <w:rPr>
          <w:rFonts w:hint="eastAsia" w:ascii="Times New Roman" w:hAnsi="Times New Roman" w:eastAsia="仿宋" w:cs="Times New Roman"/>
          <w:b/>
          <w:bCs/>
          <w:kern w:val="2"/>
          <w:sz w:val="28"/>
          <w:szCs w:val="28"/>
          <w:lang w:val="en-US" w:eastAsia="zh-CN" w:bidi="ar-SA"/>
        </w:rPr>
      </w:pPr>
    </w:p>
    <w:p w14:paraId="6DB1E0A0">
      <w:pPr>
        <w:pageBreakBefore w:val="0"/>
        <w:widowControl w:val="0"/>
        <w:kinsoku/>
        <w:wordWrap/>
        <w:overflowPunct/>
        <w:topLinePunct w:val="0"/>
        <w:autoSpaceDE/>
        <w:autoSpaceDN/>
        <w:bidi w:val="0"/>
        <w:adjustRightInd/>
        <w:snapToGrid/>
        <w:spacing w:before="0" w:beforeLines="0" w:after="0" w:afterLines="0" w:line="360" w:lineRule="auto"/>
        <w:jc w:val="both"/>
        <w:textAlignment w:val="auto"/>
        <w:rPr>
          <w:rFonts w:hint="eastAsia" w:ascii="仿宋" w:hAnsi="仿宋" w:eastAsia="仿宋" w:cs="仿宋"/>
          <w:kern w:val="2"/>
          <w:sz w:val="32"/>
          <w:szCs w:val="32"/>
          <w:highlight w:val="none"/>
          <w:lang w:val="en-US" w:eastAsia="zh-CN" w:bidi="ar-SA"/>
        </w:rPr>
      </w:pP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600"/>
      </w:pPr>
      <w:r>
        <w:separator/>
      </w:r>
    </w:p>
  </w:endnote>
  <w:endnote w:type="continuationSeparator" w:id="1">
    <w:p>
      <w:pPr>
        <w:spacing w:line="240" w:lineRule="auto"/>
        <w:ind w:firstLine="60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auto"/>
    <w:pitch w:val="default"/>
    <w:sig w:usb0="E0002EFF" w:usb1="C000785B" w:usb2="00000009" w:usb3="00000000" w:csb0="400001FF" w:csb1="FFFF0000"/>
  </w:font>
  <w:font w:name="宋体">
    <w:panose1 w:val="02010600030101010101"/>
    <w:charset w:val="34"/>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楷体">
    <w:panose1 w:val="02010609060101010101"/>
    <w:charset w:val="86"/>
    <w:family w:val="modern"/>
    <w:pitch w:val="default"/>
    <w:sig w:usb0="800002BF" w:usb1="38CF7CFA" w:usb2="00000016" w:usb3="00000000" w:csb0="00040001" w:csb1="00000000"/>
  </w:font>
  <w:font w:name="华文楷体">
    <w:altName w:val="宋体"/>
    <w:panose1 w:val="02010600040101010101"/>
    <w:charset w:val="86"/>
    <w:family w:val="auto"/>
    <w:pitch w:val="default"/>
    <w:sig w:usb0="00000000" w:usb1="00000000" w:usb2="00000000" w:usb3="00000000" w:csb0="0004009F" w:csb1="DFD70000"/>
  </w:font>
  <w:font w:name="LF_Kai">
    <w:altName w:val="微软雅黑"/>
    <w:panose1 w:val="00000000000000000000"/>
    <w:charset w:val="86"/>
    <w:family w:val="script"/>
    <w:pitch w:val="default"/>
    <w:sig w:usb0="00000000" w:usb1="00000000" w:usb2="00000010" w:usb3="00000000" w:csb0="00040000" w:csb1="00000000"/>
  </w:font>
  <w:font w:name="Arial Narrow">
    <w:altName w:val="Arial"/>
    <w:panose1 w:val="020B0606020202030204"/>
    <w:charset w:val="00"/>
    <w:family w:val="auto"/>
    <w:pitch w:val="default"/>
    <w:sig w:usb0="00000000" w:usb1="00000000" w:usb2="00000000" w:usb3="00000000" w:csb0="2000009F" w:csb1="DFD70000"/>
  </w:font>
  <w:font w:name="方正小标宋简体">
    <w:panose1 w:val="02000000000000000000"/>
    <w:charset w:val="86"/>
    <w:family w:val="script"/>
    <w:pitch w:val="default"/>
    <w:sig w:usb0="A00002BF" w:usb1="184F6CFA" w:usb2="00000012" w:usb3="00000000" w:csb0="00040001" w:csb1="00000000"/>
  </w:font>
  <w:font w:name="微软雅黑">
    <w:panose1 w:val="020B0503020204020204"/>
    <w:charset w:val="86"/>
    <w:family w:val="auto"/>
    <w:pitch w:val="default"/>
    <w:sig w:usb0="80000287" w:usb1="2ACF3C50" w:usb2="00000016" w:usb3="00000000" w:csb0="0004001F" w:csb1="00000000"/>
  </w:font>
  <w:font w:name="Arial">
    <w:panose1 w:val="020B0604020202020204"/>
    <w:charset w:val="00"/>
    <w:family w:val="auto"/>
    <w:pitch w:val="default"/>
    <w:sig w:usb0="E0002EFF" w:usb1="C000785B" w:usb2="00000009" w:usb3="00000000" w:csb0="400001FF" w:csb1="FFFF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600"/>
      </w:pPr>
      <w:r>
        <w:separator/>
      </w:r>
    </w:p>
  </w:footnote>
  <w:footnote w:type="continuationSeparator" w:id="1">
    <w:p>
      <w:pPr>
        <w:spacing w:line="360" w:lineRule="auto"/>
        <w:ind w:firstLine="60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55F8750"/>
    <w:multiLevelType w:val="singleLevel"/>
    <w:tmpl w:val="E55F8750"/>
    <w:lvl w:ilvl="0" w:tentative="0">
      <w:start w:val="1"/>
      <w:numFmt w:val="decimal"/>
      <w:suff w:val="nothing"/>
      <w:lvlText w:val="%1）"/>
      <w:lvlJc w:val="left"/>
    </w:lvl>
  </w:abstractNum>
  <w:abstractNum w:abstractNumId="1">
    <w:nsid w:val="31D3991A"/>
    <w:multiLevelType w:val="singleLevel"/>
    <w:tmpl w:val="31D3991A"/>
    <w:lvl w:ilvl="0" w:tentative="0">
      <w:start w:val="2"/>
      <w:numFmt w:val="chineseCounting"/>
      <w:suff w:val="nothing"/>
      <w:lvlText w:val="（%1）"/>
      <w:lvlJc w:val="left"/>
      <w:rPr>
        <w:rFonts w:hint="eastAsia"/>
      </w:rPr>
    </w:lvl>
  </w:abstractNum>
  <w:abstractNum w:abstractNumId="2">
    <w:nsid w:val="6CC583A9"/>
    <w:multiLevelType w:val="singleLevel"/>
    <w:tmpl w:val="6CC583A9"/>
    <w:lvl w:ilvl="0" w:tentative="0">
      <w:start w:val="2"/>
      <w:numFmt w:val="decimal"/>
      <w:suff w:val="nothing"/>
      <w:lvlText w:val="（%1）"/>
      <w:lvlJc w:val="left"/>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73769DE"/>
    <w:rsid w:val="13186FA5"/>
    <w:rsid w:val="173769DE"/>
    <w:rsid w:val="34941937"/>
    <w:rsid w:val="61835DFE"/>
    <w:rsid w:val="65A8573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iPriority="99"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qFormat="1" w:unhideWhenUsed="0" w:uiPriority="99" w:semiHidden="0" w:name="Body Text 2"/>
    <w:lsdException w:unhideWhenUsed="0" w:uiPriority="0" w:semiHidden="0" w:name="Body Text 3"/>
    <w:lsdException w:qFormat="1"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napToGrid w:val="0"/>
      <w:spacing w:line="360" w:lineRule="auto"/>
      <w:ind w:firstLine="200" w:firstLineChars="200"/>
      <w:jc w:val="both"/>
    </w:pPr>
    <w:rPr>
      <w:rFonts w:ascii="Times New Roman" w:hAnsi="Times New Roman" w:eastAsia="仿宋" w:cs="Times New Roman"/>
      <w:kern w:val="2"/>
      <w:sz w:val="30"/>
      <w:szCs w:val="24"/>
      <w:lang w:val="en-US" w:eastAsia="zh-CN" w:bidi="ar-SA"/>
    </w:rPr>
  </w:style>
  <w:style w:type="paragraph" w:styleId="2">
    <w:name w:val="heading 1"/>
    <w:basedOn w:val="1"/>
    <w:next w:val="1"/>
    <w:qFormat/>
    <w:uiPriority w:val="0"/>
    <w:pPr>
      <w:ind w:firstLine="0" w:firstLineChars="0"/>
      <w:jc w:val="center"/>
      <w:outlineLvl w:val="0"/>
    </w:pPr>
    <w:rPr>
      <w:rFonts w:ascii="Arial" w:hAnsi="Arial" w:eastAsia="黑体"/>
      <w:bCs/>
      <w:kern w:val="44"/>
      <w:sz w:val="44"/>
      <w:szCs w:val="44"/>
    </w:rPr>
  </w:style>
  <w:style w:type="paragraph" w:styleId="3">
    <w:name w:val="heading 2"/>
    <w:basedOn w:val="1"/>
    <w:next w:val="1"/>
    <w:qFormat/>
    <w:uiPriority w:val="0"/>
    <w:pPr>
      <w:spacing w:before="50" w:beforeLines="50" w:after="50" w:afterLines="50"/>
      <w:ind w:firstLine="150" w:firstLineChars="150"/>
      <w:jc w:val="left"/>
      <w:outlineLvl w:val="1"/>
    </w:pPr>
    <w:rPr>
      <w:rFonts w:ascii="Times New Roman" w:hAnsi="Times New Roman" w:eastAsia="黑体"/>
      <w:bCs/>
      <w:sz w:val="32"/>
      <w:szCs w:val="32"/>
    </w:rPr>
  </w:style>
  <w:style w:type="paragraph" w:styleId="4">
    <w:name w:val="heading 3"/>
    <w:basedOn w:val="1"/>
    <w:next w:val="1"/>
    <w:autoRedefine/>
    <w:qFormat/>
    <w:uiPriority w:val="0"/>
    <w:pPr>
      <w:spacing w:before="50" w:beforeLines="50" w:after="50" w:afterLines="50"/>
      <w:outlineLvl w:val="2"/>
    </w:pPr>
    <w:rPr>
      <w:rFonts w:ascii="Times New Roman" w:hAnsi="Times New Roman" w:eastAsia="楷体"/>
      <w:b/>
      <w:bCs/>
      <w:sz w:val="32"/>
      <w:szCs w:val="32"/>
    </w:rPr>
  </w:style>
  <w:style w:type="paragraph" w:styleId="5">
    <w:name w:val="heading 4"/>
    <w:next w:val="1"/>
    <w:autoRedefine/>
    <w:qFormat/>
    <w:uiPriority w:val="0"/>
    <w:pPr>
      <w:widowControl w:val="0"/>
      <w:adjustRightInd w:val="0"/>
      <w:snapToGrid w:val="0"/>
      <w:spacing w:line="360" w:lineRule="auto"/>
      <w:ind w:firstLine="560" w:firstLineChars="200"/>
      <w:jc w:val="both"/>
      <w:outlineLvl w:val="3"/>
    </w:pPr>
    <w:rPr>
      <w:rFonts w:ascii="Times New Roman" w:hAnsi="Times New Roman" w:eastAsia="仿宋" w:cs="Times New Roman"/>
      <w:b/>
      <w:bCs/>
      <w:kern w:val="2"/>
      <w:sz w:val="30"/>
      <w:szCs w:val="28"/>
      <w:lang w:val="en-US" w:eastAsia="zh-CN" w:bidi="ar-SA"/>
    </w:rPr>
  </w:style>
  <w:style w:type="paragraph" w:styleId="6">
    <w:name w:val="heading 5"/>
    <w:basedOn w:val="1"/>
    <w:next w:val="1"/>
    <w:autoRedefine/>
    <w:qFormat/>
    <w:uiPriority w:val="0"/>
    <w:pPr>
      <w:spacing w:line="360" w:lineRule="auto"/>
      <w:ind w:firstLine="0" w:firstLineChars="0"/>
      <w:jc w:val="center"/>
      <w:outlineLvl w:val="4"/>
    </w:pPr>
    <w:rPr>
      <w:rFonts w:ascii="Times New Roman" w:hAnsi="Times New Roman"/>
      <w:b/>
      <w:bCs/>
      <w:sz w:val="28"/>
      <w:szCs w:val="28"/>
    </w:rPr>
  </w:style>
  <w:style w:type="character" w:default="1" w:styleId="13">
    <w:name w:val="Default Paragraph Font"/>
    <w:autoRedefine/>
    <w:semiHidden/>
    <w:qFormat/>
    <w:uiPriority w:val="0"/>
  </w:style>
  <w:style w:type="table" w:default="1" w:styleId="12">
    <w:name w:val="Normal Table"/>
    <w:autoRedefine/>
    <w:semiHidden/>
    <w:qFormat/>
    <w:uiPriority w:val="0"/>
    <w:tblPr>
      <w:tblCellMar>
        <w:top w:w="0" w:type="dxa"/>
        <w:left w:w="108" w:type="dxa"/>
        <w:bottom w:w="0" w:type="dxa"/>
        <w:right w:w="108" w:type="dxa"/>
      </w:tblCellMar>
    </w:tblPr>
  </w:style>
  <w:style w:type="paragraph" w:styleId="7">
    <w:name w:val="Normal Indent"/>
    <w:basedOn w:val="1"/>
    <w:unhideWhenUsed/>
    <w:qFormat/>
    <w:uiPriority w:val="99"/>
    <w:pPr>
      <w:ind w:firstLine="420"/>
    </w:pPr>
  </w:style>
  <w:style w:type="paragraph" w:styleId="8">
    <w:name w:val="Body Text"/>
    <w:basedOn w:val="1"/>
    <w:autoRedefine/>
    <w:qFormat/>
    <w:uiPriority w:val="0"/>
    <w:pPr>
      <w:widowControl/>
      <w:adjustRightInd w:val="0"/>
      <w:snapToGrid w:val="0"/>
      <w:spacing w:before="150" w:beforeLines="0" w:after="150" w:afterLines="0" w:line="264" w:lineRule="auto"/>
      <w:ind w:firstLine="567"/>
    </w:pPr>
    <w:rPr>
      <w:rFonts w:ascii="华文楷体" w:hAnsi="华文楷体" w:eastAsia="LF_Kai" w:cs="Times New Roman"/>
      <w:kern w:val="0"/>
      <w:sz w:val="24"/>
      <w:szCs w:val="20"/>
    </w:rPr>
  </w:style>
  <w:style w:type="paragraph" w:styleId="9">
    <w:name w:val="Body Text Indent 2"/>
    <w:basedOn w:val="1"/>
    <w:unhideWhenUsed/>
    <w:qFormat/>
    <w:uiPriority w:val="0"/>
    <w:pPr>
      <w:spacing w:line="240" w:lineRule="auto"/>
      <w:ind w:firstLine="0" w:firstLineChars="0"/>
      <w:jc w:val="center"/>
    </w:pPr>
    <w:rPr>
      <w:sz w:val="21"/>
    </w:rPr>
  </w:style>
  <w:style w:type="paragraph" w:styleId="10">
    <w:name w:val="footer"/>
    <w:basedOn w:val="1"/>
    <w:qFormat/>
    <w:uiPriority w:val="99"/>
    <w:pPr>
      <w:tabs>
        <w:tab w:val="center" w:pos="4153"/>
        <w:tab w:val="right" w:pos="8306"/>
      </w:tabs>
      <w:snapToGrid w:val="0"/>
      <w:jc w:val="left"/>
    </w:pPr>
    <w:rPr>
      <w:rFonts w:eastAsia="Times New Roman"/>
      <w:sz w:val="18"/>
      <w:szCs w:val="18"/>
    </w:rPr>
  </w:style>
  <w:style w:type="paragraph" w:styleId="11">
    <w:name w:val="Body Text 2"/>
    <w:basedOn w:val="1"/>
    <w:autoRedefine/>
    <w:qFormat/>
    <w:uiPriority w:val="99"/>
    <w:pPr>
      <w:spacing w:after="120" w:line="480" w:lineRule="auto"/>
      <w:ind w:firstLine="560"/>
    </w:pPr>
    <w:rPr>
      <w:rFonts w:ascii="Calibri" w:hAnsi="Calibri"/>
    </w:rPr>
  </w:style>
  <w:style w:type="character" w:customStyle="1" w:styleId="14">
    <w:name w:val="font51"/>
    <w:basedOn w:val="13"/>
    <w:qFormat/>
    <w:uiPriority w:val="0"/>
    <w:rPr>
      <w:rFonts w:hint="default" w:ascii="Arial Narrow" w:hAnsi="Arial Narrow" w:eastAsia="Arial Narrow" w:cs="Arial Narrow"/>
      <w:color w:val="000000"/>
      <w:sz w:val="20"/>
      <w:szCs w:val="20"/>
      <w:u w:val="none"/>
    </w:rPr>
  </w:style>
  <w:style w:type="character" w:customStyle="1" w:styleId="15">
    <w:name w:val="font41"/>
    <w:basedOn w:val="13"/>
    <w:qFormat/>
    <w:uiPriority w:val="0"/>
    <w:rPr>
      <w:rFonts w:hint="default" w:ascii="Arial Narrow" w:hAnsi="Arial Narrow" w:eastAsia="Arial Narrow" w:cs="Arial Narrow"/>
      <w:b/>
      <w:color w:val="000000"/>
      <w:sz w:val="16"/>
      <w:szCs w:val="16"/>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33</Pages>
  <Words>10652</Words>
  <Characters>12660</Characters>
  <Lines>0</Lines>
  <Paragraphs>0</Paragraphs>
  <TotalTime>5</TotalTime>
  <ScaleCrop>false</ScaleCrop>
  <LinksUpToDate>false</LinksUpToDate>
  <CharactersWithSpaces>13357</CharactersWithSpaces>
  <Application>WPS Office_12.8.2.18205_F1E327BC-269C-435d-A152-05C5408002CA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2025-03-17T14:01:00Z</dcterms:created>
  <dc:creator>闵舰</dc:creator>
  <cp:lastModifiedBy>CSC13227</cp:lastModifiedBy>
  <dcterms:modified xsi:type="dcterms:W3CDTF">2025-07-09T01:25:34Z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2052-12.8.2.18205</vt:lpwstr>
  </property>
  <property fmtid="{D5CDD505-2E9C-101B-9397-08002B2CF9AE}" pid="3" name="ICV">
    <vt:lpwstr>AF060D108EFD4E44BD1965FA76042D19_13</vt:lpwstr>
  </property>
  <property fmtid="{D5CDD505-2E9C-101B-9397-08002B2CF9AE}" pid="4" name="KSOTemplateDocerSaveRecord">
    <vt:lpwstr>eyJoZGlkIjoiY2QzNTMzZWQ2M2IxYWYwZGU0ZWNkY2U3NmRmNTM3YjAiLCJ1c2VySWQiOiI2NjI1NDQ0NjkifQ==</vt:lpwstr>
  </property>
</Properties>
</file>